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88"/>
        </w:tblCellMar>
      </w:tblPr>
      <w:tblGrid>
        <w:gridCol w:w="9570"/>
      </w:tblGrid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8"/>
            </w:tcMar>
          </w:tcPr>
          <w:p w14:paraId="0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ВНИМАНИЕ, АУКЦИОН!</w:t>
            </w:r>
          </w:p>
          <w:p w14:paraId="02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Комитет по управлению имуществом Курской области объявляет о проведен</w:t>
            </w:r>
            <w:r>
              <w:rPr>
                <w:rFonts w:ascii="XO Thames" w:hAnsi="XO Thames"/>
                <w:sz w:val="22"/>
              </w:rPr>
              <w:t>ии ау</w:t>
            </w:r>
            <w:r>
              <w:rPr>
                <w:rFonts w:ascii="XO Thames" w:hAnsi="XO Thames"/>
                <w:sz w:val="22"/>
              </w:rPr>
              <w:t>кциона на право заключения договоров аренды земельных участков.</w:t>
            </w:r>
          </w:p>
          <w:p w14:paraId="03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Аукцион назначается на</w:t>
            </w:r>
            <w:r>
              <w:rPr>
                <w:rFonts w:ascii="XO Thames" w:hAnsi="XO Thames"/>
                <w:b w:val="1"/>
                <w:sz w:val="22"/>
              </w:rPr>
              <w:t xml:space="preserve"> 11 часов 00 минут 28 апреля 2022 года</w:t>
            </w:r>
            <w:r>
              <w:rPr>
                <w:rFonts w:ascii="XO Thames" w:hAnsi="XO Thames"/>
                <w:sz w:val="22"/>
              </w:rPr>
              <w:t xml:space="preserve"> в комитете по управлению имуществом Курской области по адресу: город Курск, улица Марата, дом 9, кабинет №303. Контактный телефон: 70-87-69.</w:t>
            </w:r>
          </w:p>
          <w:p w14:paraId="04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Организатор аукциона – комитет по управлению имуществом Курской области.</w:t>
            </w:r>
          </w:p>
          <w:p w14:paraId="05000000">
            <w:pPr>
              <w:ind w:firstLine="567"/>
              <w:jc w:val="both"/>
              <w:rPr>
                <w:rFonts w:ascii="XO Thames" w:hAnsi="XO Thames"/>
                <w:sz w:val="14"/>
              </w:rPr>
            </w:pPr>
          </w:p>
          <w:p w14:paraId="06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№1. </w:t>
            </w:r>
            <w:r>
              <w:rPr>
                <w:rFonts w:ascii="XO Thames" w:hAnsi="XO Thames"/>
                <w:color w:val="000000"/>
                <w:sz w:val="22"/>
              </w:rPr>
              <w:t xml:space="preserve">Предметом аукциона является право на заключение договора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46:01:140102:256, площадью 40 000 кв.м., из категории земель сельскохозяйственного назначения, государственная собственность на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который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не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разграничена, расположенного по адресу: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Курская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обл.,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Беловский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р-н,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Кондратовский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сельсовет, с видом разрешенного использования земельного участка – "растениеводство",</w:t>
            </w:r>
            <w:r>
              <w:rPr>
                <w:rFonts w:ascii="XO Thames" w:hAnsi="XO Thames"/>
                <w:b w:val="1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для целей не связанных со строительством.</w:t>
            </w:r>
          </w:p>
          <w:p w14:paraId="07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Аукцион проводится в соответствии со статьями 39.11, 39.12 Земельного кодекса Росси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йской Федерации и на основании решения комитета по управлению имуществом Курской области № 01.01-17/202 от 21.03.2022 г.</w:t>
            </w:r>
          </w:p>
          <w:p w14:paraId="08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Аукцион является открытым по составу участников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.</w:t>
            </w:r>
          </w:p>
          <w:p w14:paraId="09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Срок аренды земельного участк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а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– 5 (пять)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лет.</w:t>
            </w:r>
          </w:p>
          <w:p w14:paraId="0A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Условия использования земе</w:t>
            </w:r>
            <w:r>
              <w:rPr>
                <w:rFonts w:ascii="XO Thames" w:hAnsi="XO Thames"/>
                <w:b w:val="1"/>
                <w:sz w:val="22"/>
              </w:rPr>
              <w:t>льного участка: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0B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1.</w:t>
            </w:r>
            <w:r>
              <w:rPr>
                <w:rFonts w:ascii="XO Thames" w:hAnsi="XO Thames"/>
                <w:sz w:val="22"/>
              </w:rPr>
              <w:t xml:space="preserve"> Использование земельного участка необходимо осуществлять в соответствии с видом разрешенного использования </w:t>
            </w:r>
            <w:r>
              <w:rPr>
                <w:rFonts w:ascii="XO Thames" w:hAnsi="XO Thames"/>
                <w:sz w:val="22"/>
              </w:rPr>
              <w:t>- растениеводство</w:t>
            </w:r>
            <w:r>
              <w:rPr>
                <w:rFonts w:ascii="XO Thames" w:hAnsi="XO Thames"/>
                <w:sz w:val="22"/>
              </w:rPr>
              <w:t>.</w:t>
            </w:r>
          </w:p>
          <w:p w14:paraId="0C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2. </w:t>
            </w:r>
            <w:r>
              <w:rPr>
                <w:rFonts w:ascii="XO Thames" w:hAnsi="XO Thames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0D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3.</w:t>
            </w:r>
            <w:r>
              <w:rPr>
                <w:rFonts w:ascii="XO Thames" w:hAnsi="XO Thames"/>
                <w:sz w:val="22"/>
              </w:rPr>
              <w:t xml:space="preserve"> Передача</w:t>
            </w:r>
            <w:r>
              <w:rPr>
                <w:rFonts w:ascii="XO Thames" w:hAnsi="XO Thames"/>
                <w:sz w:val="22"/>
              </w:rPr>
              <w:t xml:space="preserve"> прав и обязанностей по договору аренды земельного участка третьему лицу не допускается.</w:t>
            </w:r>
          </w:p>
          <w:p w14:paraId="0E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4.</w:t>
            </w:r>
            <w:r>
              <w:rPr>
                <w:rFonts w:ascii="XO Thames" w:hAnsi="XO Thames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0F000000">
            <w:pPr>
              <w:ind w:firstLine="567"/>
              <w:jc w:val="both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Существующие ограничения и обременения земельного участка:</w:t>
            </w:r>
            <w:r>
              <w:rPr>
                <w:rFonts w:ascii="XO Thames" w:hAnsi="XO Thames"/>
                <w:b w:val="0"/>
                <w:sz w:val="22"/>
              </w:rPr>
              <w:t>не установлены.</w:t>
            </w:r>
          </w:p>
          <w:p w14:paraId="10000000">
            <w:pPr>
              <w:ind w:firstLine="567"/>
              <w:jc w:val="both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Начальный ежегодный размер арендной платы за земельный участок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34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(тридцать четыре тысячи рублей 00 копеек).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</w:p>
          <w:p w14:paraId="11000000">
            <w:pPr>
              <w:ind w:firstLine="567"/>
              <w:jc w:val="both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Шаг аукциона – в пределах 3% начального ежегодного размера арендной платы –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1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(одна тысяча рублей 00 копеек).</w:t>
            </w:r>
          </w:p>
          <w:p w14:paraId="12000000">
            <w:pPr>
              <w:ind w:firstLine="567"/>
              <w:jc w:val="both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Задаток в размере 100% начального ежегодного размера арендной платы –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34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(тридцать четыре тысячи рублей 00 копеек).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>.</w:t>
            </w:r>
          </w:p>
          <w:p w14:paraId="13000000">
            <w:pPr>
              <w:ind w:firstLine="567"/>
              <w:jc w:val="both"/>
              <w:rPr>
                <w:rFonts w:ascii="XO Thames" w:hAnsi="XO Thames"/>
                <w:b w:val="0"/>
                <w:sz w:val="14"/>
              </w:rPr>
            </w:pPr>
          </w:p>
          <w:p w14:paraId="14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Лот №2</w:t>
            </w:r>
            <w:r>
              <w:rPr>
                <w:rFonts w:ascii="XO Thames" w:hAnsi="XO Thames"/>
                <w:b w:val="1"/>
                <w:sz w:val="22"/>
              </w:rPr>
              <w:t xml:space="preserve">. </w:t>
            </w:r>
            <w:r>
              <w:rPr>
                <w:rFonts w:ascii="XO Thames" w:hAnsi="XO Thames"/>
                <w:color w:val="000000"/>
                <w:sz w:val="22"/>
              </w:rPr>
              <w:t xml:space="preserve">Предметом аукциона является право на заключение договора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46:01:010401:49, площадью 80 000 кв.м., из категории земель сельскохозяйственного назначения,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государственная собственность на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который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не разграничена, расположенного по адресу: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Курская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обл.,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Беловский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р-н, Беловский сельсовет, с видом разрешенного использования земельного участка – "для сельскохозяйственного производства", 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для целей не связанных со строительством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.</w:t>
            </w:r>
          </w:p>
          <w:p w14:paraId="15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Аукцион проводится в соответствии со статьями 39.11, 39.12 Земельного кодекса Росси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йской Федерации и на основании решения комитета по управлению имуществом Курской области № 01.01-17/209 от 21.03.2022 г.</w:t>
            </w:r>
          </w:p>
          <w:p w14:paraId="16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Аукцион является открытым по составу участников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.</w:t>
            </w:r>
          </w:p>
          <w:p w14:paraId="17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b w:val="1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Срок аренды земельного участка – 5 (пять) лет.</w:t>
            </w:r>
          </w:p>
          <w:p w14:paraId="18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Условия использования земельного участка</w:t>
            </w:r>
            <w:r>
              <w:rPr>
                <w:rFonts w:ascii="XO Thames" w:hAnsi="XO Thames"/>
                <w:b w:val="1"/>
                <w:sz w:val="22"/>
              </w:rPr>
              <w:t>: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19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1. </w:t>
            </w:r>
            <w:r>
              <w:rPr>
                <w:rFonts w:ascii="XO Thames" w:hAnsi="XO Thames"/>
                <w:sz w:val="22"/>
              </w:rPr>
              <w:t xml:space="preserve">Использование земельного участка необходимо осуществлять в соответствии с видом разрешенного использования – </w:t>
            </w:r>
            <w:r>
              <w:rPr>
                <w:rFonts w:ascii="XO Thames" w:hAnsi="XO Thames"/>
                <w:sz w:val="22"/>
              </w:rPr>
              <w:t>для сельскохозяйственного производства.</w:t>
            </w:r>
          </w:p>
          <w:p w14:paraId="1A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2. </w:t>
            </w:r>
            <w:r>
              <w:rPr>
                <w:rFonts w:ascii="XO Thames" w:hAnsi="XO Thames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1B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3.</w:t>
            </w:r>
            <w:r>
              <w:rPr>
                <w:rFonts w:ascii="XO Thames" w:hAnsi="XO Thames"/>
                <w:sz w:val="22"/>
              </w:rPr>
              <w:t xml:space="preserve"> Передача прав и обязан</w:t>
            </w:r>
            <w:r>
              <w:rPr>
                <w:rFonts w:ascii="XO Thames" w:hAnsi="XO Thames"/>
                <w:sz w:val="22"/>
              </w:rPr>
              <w:t>ностей по договору аренды земельного участка третьему лицу не допускается.</w:t>
            </w:r>
          </w:p>
          <w:p w14:paraId="1C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4.</w:t>
            </w:r>
            <w:r>
              <w:rPr>
                <w:rFonts w:ascii="XO Thames" w:hAnsi="XO Thames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1D000000">
            <w:pPr>
              <w:ind w:firstLine="567"/>
              <w:jc w:val="both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Существующие ограничения и обременения земельного участка: </w:t>
            </w:r>
          </w:p>
          <w:p w14:paraId="1E000000">
            <w:pPr>
              <w:ind w:firstLine="567"/>
              <w:jc w:val="both"/>
              <w:rPr>
                <w:rFonts w:ascii="XO Thames" w:hAnsi="XO Thames"/>
                <w:b w:val="0"/>
                <w:color w:val="000000"/>
                <w:sz w:val="22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Охранная зона ВЛ-10кВ 1115 расположенная на территории Беловского района Курской области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(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реестровый номер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shd w:fill="F8F9FA" w:val="clear"/>
              </w:rPr>
              <w:t>46:01-6.175</w:t>
            </w:r>
            <w:r>
              <w:rPr>
                <w:rFonts w:ascii="XO Thames" w:hAnsi="XO Thames"/>
                <w:b w:val="0"/>
                <w:i w:val="0"/>
                <w:caps w:val="0"/>
                <w:strike w:val="0"/>
                <w:color w:val="000000"/>
                <w:spacing w:val="0"/>
                <w:sz w:val="22"/>
                <w:shd w:fill="F8F9FA" w:val="clear"/>
              </w:rPr>
              <w:t xml:space="preserve">, учетный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46.01.2.251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).</w:t>
            </w:r>
          </w:p>
          <w:p w14:paraId="1F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Нача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льный ежегодный размер арендной платы за земельный участок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80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(восемьдесят тысяч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20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Шаг аукциона – в пределах 3% начального ежегодного размера арендной платы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2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(две тысячи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21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Задаток установлен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в размере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240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(двести сорок тысяч рублей 00 копеек).</w:t>
            </w:r>
          </w:p>
          <w:p w14:paraId="22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14"/>
              </w:rPr>
            </w:pPr>
          </w:p>
          <w:p w14:paraId="23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</w:t>
            </w:r>
            <w:r>
              <w:rPr>
                <w:rFonts w:ascii="XO Thames" w:hAnsi="XO Thames"/>
                <w:b w:val="1"/>
                <w:sz w:val="22"/>
              </w:rPr>
              <w:t xml:space="preserve">№3. </w:t>
            </w:r>
            <w:r>
              <w:rPr>
                <w:rFonts w:ascii="XO Thames" w:hAnsi="XO Thames"/>
                <w:color w:val="000000"/>
                <w:sz w:val="22"/>
              </w:rPr>
              <w:t xml:space="preserve">Предметом аукциона является право на заключение договора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46:07:040804:114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, площадью 756 6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00</w:t>
            </w:r>
            <w:r>
              <w:rPr>
                <w:rFonts w:ascii="XO Thames" w:hAnsi="XO Thames"/>
                <w:color w:val="000000"/>
                <w:spacing w:val="0"/>
                <w:sz w:val="27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кв.м., из категории земель сельскохозяйственного назначения, г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осударственная собственность на который не разграничена,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расположенного по адресу: Курская обл., Золотухинский р-н, Ануфриевский сельсовет, с видом разрешенного использов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ания земельного участка – "растениеводство", 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для целей не связанных со строительством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.</w:t>
            </w:r>
          </w:p>
          <w:p w14:paraId="24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 xml:space="preserve">Аукцион проводится в соответствии со статьями 39.11, 39.12, 39.18 Земельного кодекса Российской Федерации 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и на основании решения комитета по управлению имуществом Курской области № 01.01-17/200 от 18.03.2022 г.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 xml:space="preserve"> </w:t>
            </w:r>
          </w:p>
          <w:p w14:paraId="25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Участн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иками аукциона могут являться граждане и крестьянские (фермерские) хозяйства.</w:t>
            </w:r>
          </w:p>
          <w:p w14:paraId="26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Срок аренды земельного участка – 5 (пять) лет.</w:t>
            </w:r>
          </w:p>
          <w:p w14:paraId="27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28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1. </w:t>
            </w:r>
            <w:r>
              <w:rPr>
                <w:rFonts w:ascii="XO Thames" w:hAnsi="XO Thames"/>
                <w:sz w:val="22"/>
              </w:rPr>
              <w:t>Использование земельного участка необходимо осуществлять в соотв</w:t>
            </w:r>
            <w:r>
              <w:rPr>
                <w:rFonts w:ascii="XO Thames" w:hAnsi="XO Thames"/>
                <w:sz w:val="22"/>
              </w:rPr>
              <w:t xml:space="preserve">етствии с видом разрешенного использования -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растениеводство</w:t>
            </w:r>
            <w:r>
              <w:rPr>
                <w:rFonts w:ascii="XO Thames" w:hAnsi="XO Thames"/>
                <w:sz w:val="22"/>
              </w:rPr>
              <w:t>.</w:t>
            </w:r>
          </w:p>
          <w:p w14:paraId="29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2. </w:t>
            </w:r>
            <w:r>
              <w:rPr>
                <w:rFonts w:ascii="XO Thames" w:hAnsi="XO Thames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2A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3.</w:t>
            </w:r>
            <w:r>
              <w:rPr>
                <w:rFonts w:ascii="XO Thames" w:hAnsi="XO Thames"/>
                <w:sz w:val="22"/>
              </w:rPr>
              <w:t xml:space="preserve"> Передача прав и обязанностей по договору аренды земельного участка третьему лицу не допу</w:t>
            </w:r>
            <w:r>
              <w:rPr>
                <w:rFonts w:ascii="XO Thames" w:hAnsi="XO Thames"/>
                <w:sz w:val="22"/>
              </w:rPr>
              <w:t>скается.</w:t>
            </w:r>
          </w:p>
          <w:p w14:paraId="2B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4.</w:t>
            </w:r>
            <w:r>
              <w:rPr>
                <w:rFonts w:ascii="XO Thames" w:hAnsi="XO Thames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2C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Существующие ограничения и обременения земельного участка: </w:t>
            </w:r>
            <w:r>
              <w:rPr>
                <w:rFonts w:ascii="XO Thames" w:hAnsi="XO Thames"/>
                <w:b w:val="0"/>
                <w:sz w:val="22"/>
              </w:rPr>
              <w:t>не установлены.</w:t>
            </w:r>
            <w:r>
              <w:rPr>
                <w:rFonts w:ascii="XO Thames" w:hAnsi="XO Thames"/>
                <w:b w:val="1"/>
                <w:sz w:val="22"/>
              </w:rPr>
              <w:t xml:space="preserve"> </w:t>
            </w:r>
          </w:p>
          <w:p w14:paraId="2D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Начальный ежегодный размер арендной платы за земельный участок –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750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(семьсот пятьдесят тысяч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2E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Шаг аукциона – в пределах 3% начального ежегодного размера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арендной платы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22 0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,00 (двадцать две тысячи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2F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Задаток установлен в размере 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2 25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(два миллиона двести  пятьдесят тысяч рублей 00 копеек).</w:t>
            </w:r>
          </w:p>
          <w:p w14:paraId="30000000">
            <w:pPr>
              <w:ind w:firstLine="567"/>
              <w:jc w:val="both"/>
              <w:rPr>
                <w:rFonts w:ascii="XO Thames" w:hAnsi="XO Thames"/>
                <w:b w:val="1"/>
                <w:sz w:val="14"/>
              </w:rPr>
            </w:pPr>
          </w:p>
          <w:p w14:paraId="31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Лот №4.</w:t>
            </w:r>
            <w:r>
              <w:rPr>
                <w:rFonts w:ascii="XO Thames" w:hAnsi="XO Thames"/>
                <w:color w:val="000000"/>
                <w:sz w:val="22"/>
              </w:rPr>
              <w:t xml:space="preserve">Предметом аукциона является право на заключение договора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46:07:160907:119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, площадью 10 0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00</w:t>
            </w:r>
            <w:r>
              <w:rPr>
                <w:rFonts w:ascii="XO Thames" w:hAnsi="XO Thames"/>
                <w:color w:val="000000"/>
                <w:spacing w:val="0"/>
                <w:sz w:val="27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кв.м., из категории земель сельскохозяйственного назначения, находящегося в государственной собственности Курской области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,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расположенного по адресу: Курская обл., Золотухинский р-н, Дмитриевский сельсовет, с видом разрешенного использов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ания земельного участка – "для сельскохозяйственного использования", 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для целей не связанных со строительством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.</w:t>
            </w:r>
          </w:p>
          <w:p w14:paraId="32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 xml:space="preserve">Аукцион проводится в соответствии со статьями 39.11, 39.12 Земельного кодекса Российской Федерации 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и на основании решения комитета по управлению имуществом Курской области № 01.01-17/201 от 18.03.2022 г.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 xml:space="preserve"> </w:t>
            </w:r>
          </w:p>
          <w:p w14:paraId="33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Аукцион является открытым по составу участников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.</w:t>
            </w:r>
          </w:p>
          <w:p w14:paraId="34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b w:val="1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 xml:space="preserve">Срок аренды земельного участка – 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5 (пять) лет.</w:t>
            </w:r>
          </w:p>
          <w:p w14:paraId="35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36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1.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Использование земельного участка необходимо осуществлять в соотв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етствии с видом разрешенного использования –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для сельскохозяйственного использования.</w:t>
            </w:r>
          </w:p>
          <w:p w14:paraId="37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2.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38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3.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Передача прав и обязанностей по договору аренды земельного участка третьему лицу не допу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скается.</w:t>
            </w:r>
          </w:p>
          <w:p w14:paraId="39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4.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3A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b w:val="1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Существующие ограничения и обременения земельного участка: 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не установлены.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</w:p>
          <w:p w14:paraId="3B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b w:val="1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Начальный ежегодный размер арендной платы за земельный участок –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10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(десять тысяч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3C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b w:val="1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Шаг аукциона – в пределах 3% начального ежегодного размера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арендной платы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300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,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 (триста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3D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b w:val="1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Задаток установлен в размере 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30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(тридцать тысяч рублей 00 копеек)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.</w:t>
            </w:r>
          </w:p>
          <w:p w14:paraId="3E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14"/>
              </w:rPr>
            </w:pPr>
          </w:p>
          <w:p w14:paraId="3F000000">
            <w:pPr>
              <w:ind w:firstLine="567"/>
              <w:jc w:val="both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№5 </w:t>
            </w:r>
            <w:r>
              <w:rPr>
                <w:rFonts w:ascii="XO Thames" w:hAnsi="XO Thames"/>
                <w:color w:val="000000"/>
                <w:sz w:val="22"/>
              </w:rPr>
              <w:t xml:space="preserve">Предметом аукциона является право на заключение договора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46:09:120017:35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, площадью 450 0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00</w:t>
            </w:r>
            <w:r>
              <w:rPr>
                <w:rFonts w:ascii="XO Thames" w:hAnsi="XO Thames"/>
                <w:color w:val="000000"/>
                <w:spacing w:val="0"/>
                <w:sz w:val="27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кв.м., из категории земель сельскохозяйственного назначения, г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осударственная собственность на который не разграничена,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расположенного по адресу: Курская обл., Конышевский р-н, Прилепский сельсовет, с видом разрешенного использов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ания земельного участка – "выращивание зерновых и иных сельскохозяйственных культур", 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для целей не связанных со строительством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.</w:t>
            </w:r>
          </w:p>
          <w:p w14:paraId="40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 xml:space="preserve">Аукцион проводится в соответствии со статьями 39.11, 39.12, 39.18 Земельного кодекса Российской Федерации 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и на основании решения комитета по управлению имуществом Курской области № 01.01-17/195 от 18.03.2022 г.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 xml:space="preserve"> </w:t>
            </w:r>
          </w:p>
          <w:p w14:paraId="41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Участн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иками аукциона могут являться граждане и крестьянские (фермерские) хозяйства.</w:t>
            </w:r>
          </w:p>
          <w:p w14:paraId="42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Срок аренды земельного участка – 5 (пять) лет.</w:t>
            </w:r>
          </w:p>
          <w:p w14:paraId="43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44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1. </w:t>
            </w:r>
            <w:r>
              <w:rPr>
                <w:rFonts w:ascii="XO Thames" w:hAnsi="XO Thames"/>
                <w:sz w:val="22"/>
              </w:rPr>
              <w:t xml:space="preserve">Использование земельного участка необходимо осуществлять в соответствии с видом разрешенного использования -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выращивание зерновых и иных сельскохозяйственных культур</w:t>
            </w:r>
            <w:r>
              <w:rPr>
                <w:rFonts w:ascii="XO Thames" w:hAnsi="XO Thames"/>
                <w:sz w:val="22"/>
              </w:rPr>
              <w:t>.</w:t>
            </w:r>
          </w:p>
          <w:p w14:paraId="45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2. </w:t>
            </w:r>
            <w:r>
              <w:rPr>
                <w:rFonts w:ascii="XO Thames" w:hAnsi="XO Thames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46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3.</w:t>
            </w:r>
            <w:r>
              <w:rPr>
                <w:rFonts w:ascii="XO Thames" w:hAnsi="XO Thames"/>
                <w:sz w:val="22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14:paraId="47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4.</w:t>
            </w:r>
            <w:r>
              <w:rPr>
                <w:rFonts w:ascii="XO Thames" w:hAnsi="XO Thames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48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Сущест</w:t>
            </w:r>
            <w:r>
              <w:rPr>
                <w:rFonts w:ascii="XO Thames" w:hAnsi="XO Thames"/>
                <w:b w:val="1"/>
                <w:sz w:val="22"/>
              </w:rPr>
              <w:t xml:space="preserve">вующие ограничения и обременения земельного участка: </w:t>
            </w:r>
            <w:r>
              <w:rPr>
                <w:rFonts w:ascii="XO Thames" w:hAnsi="XO Thames"/>
                <w:b w:val="0"/>
                <w:sz w:val="22"/>
              </w:rPr>
              <w:t>не установлены.</w:t>
            </w:r>
          </w:p>
          <w:p w14:paraId="49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Начальный ежегодный размер арендной платы за земельный участок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180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(сто восемьдесят тысяч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4A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Шаг аукциона – в пределах 3% начального ежегодного размера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арендной платы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50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,00 (пять тысяч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4B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Задаток в размере 100% начального ежегодного размера арендной платы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180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(сто восемьдесят тысяч рублей 00 копеек).</w:t>
            </w:r>
          </w:p>
          <w:p w14:paraId="4C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14"/>
              </w:rPr>
            </w:pPr>
          </w:p>
          <w:p w14:paraId="4D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№6.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Предметом аукциона является право на заключение до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46:09:090004:132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, площадью 128 0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00</w:t>
            </w:r>
            <w:r>
              <w:rPr>
                <w:rFonts w:ascii="XO Thames" w:hAnsi="XO Thames"/>
                <w:color w:val="000000"/>
                <w:spacing w:val="0"/>
                <w:sz w:val="27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кв.м., из категории земель сельскохозяйственного назначения, находящегося в государственной собственности Курской области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,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расположенного по адресу: Курская обл., Конышевский р-н, Машкинский сельсовет, с видом разрешенного использов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ания земельного участка – "для сельскохозяйственного использования, 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для целей не связанных со строительством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.</w:t>
            </w:r>
          </w:p>
          <w:p w14:paraId="4E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 xml:space="preserve">Аукцион проводится в соответствии со статьями 39.11, 39.12 Земельного кодекса Российской Федерации 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и на основании решения комитета по управлению имуществом Курской области № 01.01-17/203 от 21.03.2022 г.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 xml:space="preserve"> </w:t>
            </w:r>
          </w:p>
          <w:p w14:paraId="4F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Аукцион является открытым по составу участников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.</w:t>
            </w:r>
          </w:p>
          <w:p w14:paraId="50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Срок аренды земельного участка – 5 (пять) лет.</w:t>
            </w:r>
          </w:p>
          <w:p w14:paraId="51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52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1. </w:t>
            </w:r>
            <w:r>
              <w:rPr>
                <w:rFonts w:ascii="XO Thames" w:hAnsi="XO Thames"/>
                <w:sz w:val="22"/>
              </w:rPr>
              <w:t>Использование земельного участка необходимо осуществлять в соответствии с видом разрешенного использ</w:t>
            </w:r>
            <w:r>
              <w:rPr>
                <w:rFonts w:ascii="XO Thames" w:hAnsi="XO Thames"/>
                <w:sz w:val="22"/>
              </w:rPr>
              <w:t xml:space="preserve">ования –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для сельскохозяйственного использования</w:t>
            </w:r>
            <w:r>
              <w:rPr>
                <w:rFonts w:ascii="XO Thames" w:hAnsi="XO Thames"/>
                <w:sz w:val="22"/>
              </w:rPr>
              <w:t>.</w:t>
            </w:r>
          </w:p>
          <w:p w14:paraId="53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2. </w:t>
            </w:r>
            <w:r>
              <w:rPr>
                <w:rFonts w:ascii="XO Thames" w:hAnsi="XO Thames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54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3.</w:t>
            </w:r>
            <w:r>
              <w:rPr>
                <w:rFonts w:ascii="XO Thames" w:hAnsi="XO Thames"/>
                <w:sz w:val="22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14:paraId="55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4.</w:t>
            </w:r>
            <w:r>
              <w:rPr>
                <w:rFonts w:ascii="XO Thames" w:hAnsi="XO Thames"/>
                <w:sz w:val="22"/>
              </w:rPr>
              <w:t xml:space="preserve"> Передача арендованного земельного участка в суб</w:t>
            </w:r>
            <w:r>
              <w:rPr>
                <w:rFonts w:ascii="XO Thames" w:hAnsi="XO Thames"/>
                <w:sz w:val="22"/>
              </w:rPr>
              <w:t>аренду не допускается.</w:t>
            </w:r>
          </w:p>
          <w:p w14:paraId="56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Существующие ограничения и обременения земельного участка:</w:t>
            </w:r>
          </w:p>
          <w:p w14:paraId="57000000">
            <w:pPr>
              <w:ind w:firstLine="567"/>
              <w:jc w:val="both"/>
              <w:rPr>
                <w:rFonts w:ascii="XO Thames" w:hAnsi="XO Thames"/>
                <w:b w:val="0"/>
                <w:color w:val="000000"/>
                <w:sz w:val="22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Охранная зона объекта линии электропередач ВЛ - 10 кВ 71402 от ЦРП 10кВ Машкино Конышевского района Курской области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(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реестровый номер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shd w:fill="F8F9FA" w:val="clear"/>
              </w:rPr>
              <w:t>46:09-6.25,</w:t>
            </w:r>
            <w:r>
              <w:rPr>
                <w:rFonts w:ascii="XO Thames" w:hAnsi="XO Thames"/>
                <w:b w:val="0"/>
                <w:i w:val="0"/>
                <w:caps w:val="0"/>
                <w:strike w:val="0"/>
                <w:color w:val="000000"/>
                <w:spacing w:val="0"/>
                <w:sz w:val="22"/>
                <w:shd w:fill="F8F9FA" w:val="clear"/>
              </w:rPr>
              <w:t xml:space="preserve"> учетный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46.09.2.22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).</w:t>
            </w:r>
          </w:p>
          <w:p w14:paraId="58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Начальный ежегодный размер арендной платы за земельный участок –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134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(сто тридцать четыре тысячи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59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Шаг аукциона – в пределах 3% начального ежегодного размера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арендной платы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40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,00 (четыре тысячи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5A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Задаток установлен в размере –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402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(четыреста две тысячи рублей 00 копеек).</w:t>
            </w:r>
          </w:p>
          <w:p w14:paraId="5B000000">
            <w:pPr>
              <w:ind w:firstLine="567"/>
              <w:jc w:val="both"/>
              <w:rPr>
                <w:rFonts w:ascii="XO Thames" w:hAnsi="XO Thames"/>
                <w:b w:val="1"/>
                <w:sz w:val="14"/>
              </w:rPr>
            </w:pPr>
          </w:p>
          <w:p w14:paraId="5C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№7.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Предметом аукциона является право на заключение до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46:16:060501:137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, площадью 38 001</w:t>
            </w:r>
            <w:r>
              <w:rPr>
                <w:rFonts w:ascii="XO Thames" w:hAnsi="XO Thames"/>
                <w:color w:val="000000"/>
                <w:spacing w:val="0"/>
                <w:sz w:val="27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кв.м., из категории земель сельскохозяйственного назначения,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г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осударственная собственность на который не разграничена,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расположенного по адресу: Курская обл., Обоянский р-н, Быкановский сельсовет, с видом разрешенного использов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ания земельного участка – "выпас сельскохозяйственных животных", 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для целей не связанных со строительством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.</w:t>
            </w:r>
          </w:p>
          <w:p w14:paraId="5D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 xml:space="preserve">Аукцион проводится в соответствии со статьями 39.11, 39.12 Земельного кодекса Российской Федерации 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и на основании решения комитета по управлению имуществом Курской области № 01.01-17/197 от 18.03.2022 г.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 xml:space="preserve"> </w:t>
            </w:r>
          </w:p>
          <w:p w14:paraId="5E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Аукцион является открытым по составу участников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.</w:t>
            </w:r>
          </w:p>
          <w:p w14:paraId="5F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Срок аренды земельного участка – 3 (три) года.</w:t>
            </w:r>
          </w:p>
          <w:p w14:paraId="60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61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1. </w:t>
            </w:r>
            <w:r>
              <w:rPr>
                <w:rFonts w:ascii="XO Thames" w:hAnsi="XO Thames"/>
                <w:sz w:val="22"/>
              </w:rPr>
              <w:t>Использование земельного участка необходимо осуществлять в соответствии с видом разре</w:t>
            </w:r>
            <w:r>
              <w:rPr>
                <w:rFonts w:ascii="XO Thames" w:hAnsi="XO Thames"/>
                <w:sz w:val="22"/>
              </w:rPr>
              <w:t xml:space="preserve">шенного использования –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выпас сельскохозяйственных животных</w:t>
            </w:r>
            <w:r>
              <w:rPr>
                <w:rFonts w:ascii="XO Thames" w:hAnsi="XO Thames"/>
                <w:sz w:val="22"/>
              </w:rPr>
              <w:t>.</w:t>
            </w:r>
          </w:p>
          <w:p w14:paraId="62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2. </w:t>
            </w:r>
            <w:r>
              <w:rPr>
                <w:rFonts w:ascii="XO Thames" w:hAnsi="XO Thames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63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3.</w:t>
            </w:r>
            <w:r>
              <w:rPr>
                <w:rFonts w:ascii="XO Thames" w:hAnsi="XO Thames"/>
                <w:sz w:val="22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14:paraId="64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4.</w:t>
            </w:r>
            <w:r>
              <w:rPr>
                <w:rFonts w:ascii="XO Thames" w:hAnsi="XO Thames"/>
                <w:sz w:val="22"/>
              </w:rPr>
              <w:t xml:space="preserve"> Передача арендованного земельног</w:t>
            </w:r>
            <w:r>
              <w:rPr>
                <w:rFonts w:ascii="XO Thames" w:hAnsi="XO Thames"/>
                <w:sz w:val="22"/>
              </w:rPr>
              <w:t>о участка в субаренду не допускается.</w:t>
            </w:r>
          </w:p>
          <w:p w14:paraId="65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Существующие ограничения и обременения земельного участка:</w:t>
            </w:r>
          </w:p>
          <w:p w14:paraId="66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1.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Охранная зона "ВЛ-10кВ №4514 ПС "Быканово"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(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реестровый номер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shd w:fill="F8F9FA" w:val="clear"/>
              </w:rPr>
              <w:t>46:16-6.34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shd w:fill="F8F9FA" w:val="clear"/>
              </w:rPr>
              <w:t>,</w:t>
            </w:r>
            <w:r>
              <w:rPr>
                <w:rFonts w:ascii="XO Thames" w:hAnsi="XO Thames"/>
                <w:b w:val="0"/>
                <w:i w:val="0"/>
                <w:caps w:val="0"/>
                <w:strike w:val="0"/>
                <w:color w:val="000000"/>
                <w:spacing w:val="0"/>
                <w:sz w:val="22"/>
                <w:shd w:fill="F8F9FA" w:val="clear"/>
              </w:rPr>
              <w:t xml:space="preserve"> учетный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46.16.2.29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).</w:t>
            </w:r>
          </w:p>
          <w:p w14:paraId="67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2.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shd w:fill="F8F9FA" w:val="clear"/>
              </w:rPr>
              <w:t xml:space="preserve">Охранная зона ВЛ-0,4кВ №2 от ТП 317 (4514 14/160) расположенная на территории Обоянского района Курской области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(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реестровый номер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shd w:fill="F8F9FA" w:val="clear"/>
              </w:rPr>
              <w:t>46:16-6.442)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.</w:t>
            </w:r>
          </w:p>
          <w:p w14:paraId="68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3.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shd w:fill="F8F9FA" w:val="clear"/>
              </w:rPr>
              <w:t xml:space="preserve">Охранная зона ВЛ-0,4кВ №2 от ТП 315 (4514 12/160) расположенная на территории Обоянского района Курской области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(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shd w:fill="F8F9FA" w:val="clear"/>
              </w:rPr>
              <w:t>46:16-6.427)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.</w:t>
            </w:r>
          </w:p>
          <w:p w14:paraId="69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14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Начальный ежегодный размер арендной платы за земельный участок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11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(одиннадцать тысяч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Шаг аукциона – в пределах 3% начального ежегодного размера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арендной платы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300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,00 (триста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Задаток в размере 100% начального ежегодного размера арендной платы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11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(одиннадцать тысяч рублей 00 копеек).</w:t>
            </w:r>
          </w:p>
          <w:p w14:paraId="6A000000">
            <w:pPr>
              <w:ind w:firstLine="567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Порядок внесения задатка: </w:t>
            </w:r>
          </w:p>
          <w:p w14:paraId="6B000000">
            <w:pPr>
              <w:ind w:firstLine="559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Задаток </w:t>
            </w:r>
            <w:r>
              <w:rPr>
                <w:rFonts w:ascii="XO Thames" w:hAnsi="XO Thames"/>
                <w:sz w:val="22"/>
              </w:rPr>
              <w:t xml:space="preserve">вносится до даты подачи заявки путем безналичного перечисления на расчетный счет организатора аукциона. </w:t>
            </w:r>
          </w:p>
          <w:p w14:paraId="6C000000">
            <w:pPr>
              <w:ind w:firstLine="559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Реквизиты счета для перечисления задатка – </w:t>
            </w:r>
          </w:p>
          <w:p w14:paraId="6D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УФК по Курской области (Комитет по управлению имуществом Курской области,  л/с 05442036630), ИНН 4629011325</w:t>
            </w:r>
            <w:r>
              <w:rPr>
                <w:rFonts w:ascii="XO Thames" w:hAnsi="XO Thames"/>
                <w:sz w:val="22"/>
              </w:rPr>
              <w:t>,  КПП 463201001, Отделение Курск Банка России//УФК по Курской области, г. Курск, ОКТМО 38701000, Банковский счет УФК по Курской области, входящий в состав ЕКС (Единый казначейский счет) № 40102810545370000038, Казначейский счет УФК по Курской области № 03</w:t>
            </w:r>
            <w:r>
              <w:rPr>
                <w:rFonts w:ascii="XO Thames" w:hAnsi="XO Thames"/>
                <w:sz w:val="22"/>
              </w:rPr>
              <w:t>222643380000004400, БИК ТОФК 013807906.</w:t>
            </w:r>
          </w:p>
          <w:p w14:paraId="6E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Наименование получателя: Управление Федерального Казначейства по Курской области (комитет по управлению имуществом Курской области), назначение платежа – "Оплата за участие в аукционе на право заключения договора аре</w:t>
            </w:r>
            <w:r>
              <w:rPr>
                <w:rFonts w:ascii="XO Thames" w:hAnsi="XO Thames"/>
                <w:sz w:val="22"/>
              </w:rPr>
              <w:t>нды земельного участка с кадастровым номером __________ (задаток), назначенного на 28 апреля 2022 г., Лот №____". При перечислении задатка необходимо указывать ИНН плательщика.</w:t>
            </w:r>
          </w:p>
          <w:p w14:paraId="6F000000">
            <w:pPr>
              <w:tabs>
                <w:tab w:leader="none" w:pos="360" w:val="left"/>
              </w:tabs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Документом, подтверждающим поступление задатка на счет организатора аукциона я</w:t>
            </w:r>
            <w:r>
              <w:rPr>
                <w:rFonts w:ascii="XO Thames" w:hAnsi="XO Thames"/>
                <w:sz w:val="22"/>
              </w:rPr>
              <w:t>вляется</w:t>
            </w:r>
            <w:r>
              <w:rPr>
                <w:rFonts w:ascii="XO Thames" w:hAnsi="XO Thames"/>
                <w:sz w:val="22"/>
              </w:rPr>
              <w:t xml:space="preserve"> выписка со счета организатора аукциона.</w:t>
            </w:r>
          </w:p>
          <w:p w14:paraId="70000000">
            <w:pPr>
              <w:tabs>
                <w:tab w:leader="none" w:pos="360" w:val="left"/>
              </w:tabs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Исполнение обязанности по внесению задатка третьими лицами не допускается.</w:t>
            </w:r>
          </w:p>
          <w:p w14:paraId="71000000">
            <w:pPr>
              <w:tabs>
                <w:tab w:leader="none" w:pos="0" w:val="left"/>
              </w:tabs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Порядок приема заявки на участие в аукционе, адрес места ее приема, дата и время начала и окончания приема заявок на участие в </w:t>
            </w:r>
            <w:r>
              <w:rPr>
                <w:rFonts w:ascii="XO Thames" w:hAnsi="XO Thames"/>
                <w:b w:val="1"/>
                <w:sz w:val="22"/>
              </w:rPr>
              <w:t>аукционе:</w:t>
            </w:r>
          </w:p>
          <w:p w14:paraId="72000000">
            <w:pPr>
              <w:tabs>
                <w:tab w:leader="none" w:pos="0" w:val="left"/>
              </w:tabs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Для участия в аукционе заявителями представляются следующие документы:</w:t>
            </w:r>
          </w:p>
          <w:p w14:paraId="73000000">
            <w:pPr>
              <w:tabs>
                <w:tab w:leader="none" w:pos="0" w:val="left"/>
              </w:tabs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- заявка на участие в аукционе по установленной форме с указанием банковских реквизитов счета для возврата задатка;  </w:t>
            </w:r>
          </w:p>
          <w:p w14:paraId="74000000">
            <w:pPr>
              <w:numPr>
                <w:ilvl w:val="0"/>
                <w:numId w:val="1"/>
              </w:numPr>
              <w:tabs>
                <w:tab w:leader="none" w:pos="0" w:val="left"/>
              </w:tabs>
              <w:ind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копии документов, удостоверяющих личность заявителя (для </w:t>
            </w:r>
            <w:r>
              <w:rPr>
                <w:rFonts w:ascii="XO Thames" w:hAnsi="XO Thames"/>
                <w:sz w:val="22"/>
              </w:rPr>
              <w:t>граждан);</w:t>
            </w:r>
          </w:p>
          <w:p w14:paraId="75000000">
            <w:pPr>
              <w:tabs>
                <w:tab w:leader="none" w:pos="0" w:val="left"/>
              </w:tabs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6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- доку</w:t>
            </w:r>
            <w:r>
              <w:rPr>
                <w:rFonts w:ascii="XO Thames" w:hAnsi="XO Thames"/>
                <w:sz w:val="22"/>
              </w:rPr>
              <w:t>менты, подтверждающие внесение задатка;</w:t>
            </w:r>
          </w:p>
          <w:p w14:paraId="77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заявителя;</w:t>
            </w:r>
          </w:p>
          <w:p w14:paraId="78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- документ на бумажном носителе или в форме электронного документа с</w:t>
            </w:r>
            <w:r>
              <w:rPr>
                <w:rFonts w:ascii="XO Thames" w:hAnsi="XO Thames"/>
                <w:sz w:val="22"/>
              </w:rPr>
              <w:t>ведений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года N 209-ФЗ «О развитии малого и среднего предпринимательства в Российской Федерации», либо з</w:t>
            </w:r>
            <w:r>
              <w:rPr>
                <w:rFonts w:ascii="XO Thames" w:hAnsi="XO Thames"/>
                <w:sz w:val="22"/>
              </w:rPr>
              <w:t xml:space="preserve">аявление о </w:t>
            </w:r>
            <w:r>
              <w:rPr>
                <w:rFonts w:ascii="XO Thames" w:hAnsi="XO Thames"/>
                <w:sz w:val="22"/>
              </w:rPr>
              <w:t xml:space="preserve">своем соответствии условиям отнесения к субъектам малого и среднего предпринимательства в соответствии с </w:t>
            </w:r>
            <w:r>
              <w:rPr>
                <w:rFonts w:ascii="XO Thames" w:hAnsi="XO Thames"/>
                <w:sz w:val="22"/>
              </w:rPr>
              <w:fldChar w:fldCharType="begin"/>
            </w:r>
            <w:r>
              <w:rPr>
                <w:rFonts w:ascii="XO Thames" w:hAnsi="XO Thames"/>
                <w:sz w:val="22"/>
              </w:rPr>
              <w:instrText>HYPERLINK "consultantplus://offline/ref=915245EDF75F3176075839897338275D0AE523D24BFD132B1D201BD7024E26948296EBC16C8F650DCB2F332223397819BA73AAFA2D84CC3FqEx6J"</w:instrText>
            </w:r>
            <w:r>
              <w:rPr>
                <w:rFonts w:ascii="XO Thames" w:hAnsi="XO Thames"/>
                <w:sz w:val="22"/>
              </w:rPr>
              <w:fldChar w:fldCharType="separate"/>
            </w:r>
            <w:r>
              <w:rPr>
                <w:rFonts w:ascii="XO Thames" w:hAnsi="XO Thames"/>
                <w:sz w:val="22"/>
              </w:rPr>
              <w:t>частью 5</w:t>
            </w:r>
            <w:r>
              <w:rPr>
                <w:rFonts w:ascii="XO Thames" w:hAnsi="XO Thames"/>
                <w:sz w:val="22"/>
              </w:rPr>
              <w:t xml:space="preserve"> статьи 4</w:t>
            </w:r>
            <w:r>
              <w:rPr>
                <w:rFonts w:ascii="XO Thames" w:hAnsi="XO Thames"/>
                <w:sz w:val="22"/>
              </w:rPr>
              <w:fldChar w:fldCharType="end"/>
            </w:r>
            <w:r>
              <w:rPr>
                <w:rFonts w:ascii="XO Thames" w:hAnsi="XO Thames"/>
                <w:sz w:val="22"/>
              </w:rPr>
              <w:t xml:space="preserve"> указанного Федерального</w:t>
            </w:r>
            <w:r>
              <w:rPr>
                <w:rFonts w:ascii="XO Thames" w:hAnsi="XO Thames"/>
                <w:sz w:val="22"/>
              </w:rPr>
              <w:t xml:space="preserve"> закона (в случае подачи заявки на участие в аукционе по лоту № </w:t>
            </w:r>
            <w:r>
              <w:rPr>
                <w:rFonts w:ascii="XO Thames" w:hAnsi="XO Thames"/>
                <w:sz w:val="22"/>
              </w:rPr>
              <w:t>3).</w:t>
            </w:r>
          </w:p>
          <w:p w14:paraId="79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Все вышеуказанные документы должны быть составлены на </w:t>
            </w:r>
            <w:r>
              <w:rPr>
                <w:rFonts w:ascii="XO Thames" w:hAnsi="XO Thames"/>
                <w:sz w:val="22"/>
              </w:rPr>
              <w:t>русском</w:t>
            </w:r>
            <w:r>
              <w:rPr>
                <w:rFonts w:ascii="XO Thames" w:hAnsi="XO Thames"/>
                <w:sz w:val="22"/>
              </w:rPr>
              <w:t xml:space="preserve"> языке (либо содержать надлежащим образом заверенный перевод на русский язык).</w:t>
            </w:r>
          </w:p>
          <w:p w14:paraId="7A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Предоставление документов, подтверждающих внесение задатка, признается заключением соглашения о задатке.</w:t>
            </w:r>
          </w:p>
          <w:p w14:paraId="7B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Форму з</w:t>
            </w:r>
            <w:r>
              <w:rPr>
                <w:rFonts w:ascii="XO Thames" w:hAnsi="XO Thames"/>
                <w:sz w:val="22"/>
              </w:rPr>
              <w:t xml:space="preserve">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</w:t>
            </w:r>
            <w:r>
              <w:rPr>
                <w:rFonts w:ascii="XO Thames" w:hAnsi="XO Thames"/>
                <w:sz w:val="22"/>
              </w:rPr>
              <w:t>www.torgi.gov.ru</w:t>
            </w:r>
            <w:r>
              <w:rPr>
                <w:rFonts w:ascii="XO Thames" w:hAnsi="XO Thames"/>
                <w:sz w:val="22"/>
              </w:rPr>
              <w:t>, комитета по управлению имуществом Курской области</w:t>
            </w:r>
            <w:r>
              <w:rPr>
                <w:rFonts w:ascii="XO Thames" w:hAnsi="XO Thames"/>
                <w:sz w:val="22"/>
              </w:rPr>
              <w:t xml:space="preserve"> в информационно-телекоммуникационной сети Интернет </w:t>
            </w:r>
            <w:r>
              <w:rPr>
                <w:rFonts w:ascii="XO Thames" w:hAnsi="XO Thames"/>
                <w:sz w:val="22"/>
              </w:rPr>
              <w:t>www.imkursk.ru</w:t>
            </w:r>
            <w:r>
              <w:rPr>
                <w:rFonts w:ascii="XO Thames" w:hAnsi="XO Thames"/>
                <w:sz w:val="22"/>
              </w:rPr>
              <w:t>, а также в управлении земельных отношений комитета по управлению имуществом Курской области по адресу: город Курск, улица Марата, дом 9, кабинет 305.</w:t>
            </w:r>
          </w:p>
          <w:p w14:paraId="7C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Заявитель вправе подать только одну зая</w:t>
            </w:r>
            <w:r>
              <w:rPr>
                <w:rFonts w:ascii="XO Thames" w:hAnsi="XO Thames"/>
                <w:sz w:val="22"/>
              </w:rPr>
              <w:t>вку на участие в аукционе.</w:t>
            </w:r>
          </w:p>
          <w:p w14:paraId="7D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Заявки на участие в аукционе принимаются</w:t>
            </w:r>
            <w:r>
              <w:rPr>
                <w:rFonts w:ascii="XO Thames" w:hAnsi="XO Thames"/>
                <w:sz w:val="22"/>
              </w:rPr>
              <w:t xml:space="preserve"> по месту проведения аукциона (каб. 305) – с 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>1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8 апреля 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>2</w:t>
            </w:r>
            <w:r>
              <w:rPr>
                <w:rFonts w:ascii="XO Thames" w:hAnsi="XO Thames"/>
                <w:b w:val="1"/>
                <w:sz w:val="22"/>
              </w:rPr>
              <w:t>022 г. по 25 апреля 2022 г.</w:t>
            </w:r>
          </w:p>
          <w:p w14:paraId="7E000000">
            <w:pPr>
              <w:tabs>
                <w:tab w:leader="none" w:pos="0" w:val="left"/>
              </w:tabs>
              <w:spacing w:line="260" w:lineRule="exact"/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Подача заявок осуществляется по адресу: </w:t>
            </w:r>
            <w:r>
              <w:rPr>
                <w:rFonts w:ascii="XO Thames" w:hAnsi="XO Thames"/>
                <w:sz w:val="22"/>
              </w:rPr>
              <w:t>г</w:t>
            </w:r>
            <w:r>
              <w:rPr>
                <w:rFonts w:ascii="XO Thames" w:hAnsi="XO Thames"/>
                <w:sz w:val="22"/>
              </w:rPr>
              <w:t xml:space="preserve">. Курск, ул. Марата, д. 9, каб. 305, телефон: (4712) </w:t>
            </w:r>
            <w:r>
              <w:rPr>
                <w:rFonts w:ascii="XO Thames" w:hAnsi="XO Thames"/>
                <w:sz w:val="22"/>
              </w:rPr>
              <w:t>70-87-6</w:t>
            </w:r>
            <w:r>
              <w:rPr>
                <w:rFonts w:ascii="XO Thames" w:hAnsi="XO Thames"/>
                <w:sz w:val="22"/>
              </w:rPr>
              <w:t>9, с 10 часов 00 минут (по московскому времени) до 17 часов 00 минут (по московскому времени), перерыв с 13 часов 00 минут до 14 часов 00 минут (по московскому времени).</w:t>
            </w:r>
          </w:p>
          <w:p w14:paraId="7F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Заявка на участие в аукционе, поступившая по истечении срока приема заявок, возвращает</w:t>
            </w:r>
            <w:r>
              <w:rPr>
                <w:rFonts w:ascii="XO Thames" w:hAnsi="XO Thames"/>
                <w:sz w:val="22"/>
              </w:rPr>
              <w:t>ся заявителю в день ее поступления.</w:t>
            </w:r>
          </w:p>
          <w:p w14:paraId="80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      </w:r>
          </w:p>
          <w:p w14:paraId="81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Порядок определения участников</w:t>
            </w:r>
            <w:r>
              <w:rPr>
                <w:rFonts w:ascii="XO Thames" w:hAnsi="XO Thames"/>
                <w:b w:val="1"/>
                <w:sz w:val="22"/>
              </w:rPr>
              <w:t xml:space="preserve"> аукциона:</w:t>
            </w:r>
          </w:p>
          <w:p w14:paraId="82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Рассмотрение заявок на участие в аукционе и определение участников аукциона состоится по месту проведения аукциона в </w:t>
            </w:r>
            <w:r>
              <w:rPr>
                <w:rFonts w:ascii="XO Thames" w:hAnsi="XO Thames"/>
                <w:b w:val="1"/>
                <w:sz w:val="22"/>
              </w:rPr>
              <w:t>15 часов 30 минут 26 апреля 2022 года.</w:t>
            </w:r>
          </w:p>
          <w:p w14:paraId="83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Заявитель, признанный участником аукциона, становится участником аукциона с даты подписа</w:t>
            </w:r>
            <w:r>
              <w:rPr>
                <w:rFonts w:ascii="XO Thames" w:hAnsi="XO Thames"/>
                <w:sz w:val="22"/>
              </w:rPr>
              <w:t>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      </w:r>
          </w:p>
          <w:p w14:paraId="84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Заявитель не допускается к участию в аукционе в </w:t>
            </w:r>
            <w:r>
              <w:rPr>
                <w:rFonts w:ascii="XO Thames" w:hAnsi="XO Thames"/>
                <w:sz w:val="22"/>
              </w:rPr>
              <w:t>следующих случаях:</w:t>
            </w:r>
          </w:p>
          <w:p w14:paraId="85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14:paraId="86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2) </w:t>
            </w:r>
            <w:r>
              <w:rPr>
                <w:rFonts w:ascii="XO Thames" w:hAnsi="XO Thames"/>
                <w:sz w:val="22"/>
              </w:rPr>
              <w:t>непоступление</w:t>
            </w:r>
            <w:r>
              <w:rPr>
                <w:rFonts w:ascii="XO Thames" w:hAnsi="XO Thames"/>
                <w:sz w:val="22"/>
              </w:rPr>
              <w:t xml:space="preserve"> задатка на дату рассмотрения заявок на участие в аукционе;</w:t>
            </w:r>
          </w:p>
          <w:p w14:paraId="87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3) подача заявки на участие в аукционе лицом, которое </w:t>
            </w:r>
            <w:r>
              <w:rPr>
                <w:rFonts w:ascii="XO Thames" w:hAnsi="XO Thames"/>
                <w:sz w:val="22"/>
              </w:rPr>
              <w:t>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14:paraId="88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4) наличие сведений о заявителе, об учредителях (участниках),</w:t>
            </w:r>
            <w:r>
              <w:rPr>
                <w:rFonts w:ascii="XO Thames" w:hAnsi="XO Thames"/>
                <w:sz w:val="22"/>
              </w:rPr>
              <w:t xml:space="preserve">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14:paraId="89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Регистрация</w:t>
            </w:r>
            <w:r>
              <w:rPr>
                <w:rFonts w:ascii="XO Thames" w:hAnsi="XO Thames"/>
                <w:b w:val="1"/>
                <w:sz w:val="22"/>
              </w:rPr>
              <w:t xml:space="preserve"> участников аукциона проводится в день и в месте проведения аукциона              (каб. 303) с 10:30 до 11:00 часов.</w:t>
            </w:r>
          </w:p>
          <w:p w14:paraId="8A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Для регистрации участников аукциона заявители представляют следующие документы:</w:t>
            </w:r>
          </w:p>
          <w:p w14:paraId="8B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- копии документов, удостоверяющих личность участников аукц</w:t>
            </w:r>
            <w:r>
              <w:rPr>
                <w:rFonts w:ascii="XO Thames" w:hAnsi="XO Thames"/>
                <w:sz w:val="22"/>
              </w:rPr>
              <w:t>иона;</w:t>
            </w:r>
          </w:p>
          <w:p w14:paraId="8C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- надлежащим образом оформленная доверенность на лицо, имеющее право действовать от имени заявителя и представлять его интересы в комитете по управлению имуществом Курской области на аукционах на право заключения договоров аренды земельных участков, </w:t>
            </w:r>
            <w:r>
              <w:rPr>
                <w:rFonts w:ascii="XO Thames" w:hAnsi="XO Thames"/>
                <w:sz w:val="22"/>
              </w:rPr>
              <w:t>находящихся в государственной собственности Курской области, участвовать в таких аукционах и назначать ставки на аукционных торгах, подписывать протокол о результатах аукциона, если участником аукциона является представитель заявителя.</w:t>
            </w:r>
          </w:p>
          <w:p w14:paraId="8D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Порядок подведения и</w:t>
            </w:r>
            <w:r>
              <w:rPr>
                <w:rFonts w:ascii="XO Thames" w:hAnsi="XO Thames"/>
                <w:b w:val="1"/>
                <w:sz w:val="22"/>
              </w:rPr>
              <w:t>тогов аукциона:</w:t>
            </w:r>
          </w:p>
          <w:p w14:paraId="8E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Подведение итогов аукциона состоится в день и </w:t>
            </w:r>
            <w:r>
              <w:rPr>
                <w:rFonts w:ascii="XO Thames" w:hAnsi="XO Thames"/>
                <w:sz w:val="22"/>
              </w:rPr>
              <w:t>месте</w:t>
            </w:r>
            <w:r>
              <w:rPr>
                <w:rFonts w:ascii="XO Thames" w:hAnsi="XO Thames"/>
                <w:sz w:val="22"/>
              </w:rPr>
              <w:t xml:space="preserve"> проведения аукциона.</w:t>
            </w:r>
          </w:p>
          <w:p w14:paraId="8F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90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Лицо, выигравшее аукцион и организатор</w:t>
            </w:r>
            <w:r>
              <w:rPr>
                <w:rFonts w:ascii="XO Thames" w:hAnsi="XO Thames"/>
                <w:sz w:val="22"/>
              </w:rPr>
              <w:t xml:space="preserve"> аукциона подписывают в день проведения и в месте проведения аукциона протокол о результатах аукциона.</w:t>
            </w:r>
          </w:p>
          <w:p w14:paraId="91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 случае</w:t>
            </w:r>
            <w:r>
              <w:rPr>
                <w:rFonts w:ascii="XO Thames" w:hAnsi="XO Thames"/>
                <w:sz w:val="22"/>
              </w:rPr>
              <w:t>,</w:t>
            </w:r>
            <w:r>
              <w:rPr>
                <w:rFonts w:ascii="XO Thames" w:hAnsi="XO Thames"/>
                <w:sz w:val="22"/>
              </w:rPr>
              <w:t xml:space="preserve"> если в аукционе участвует только один участник или при проведении аукциона не присутствует ни один из участников аукциона, либо в случае, если </w:t>
            </w:r>
            <w:r>
              <w:rPr>
                <w:rFonts w:ascii="XO Thames" w:hAnsi="XO Thames"/>
                <w:sz w:val="22"/>
              </w:rPr>
              <w:t>после троекратного объявления предложения о начальной цене предмета аукциона не поступит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14:paraId="92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Протокол о результа</w:t>
            </w:r>
            <w:r>
              <w:rPr>
                <w:rFonts w:ascii="XO Thames" w:hAnsi="XO Thames"/>
                <w:sz w:val="22"/>
              </w:rPr>
              <w:t xml:space="preserve">тах аукциона размещается на официальном сайте Российской Федерации в информационно-телекоммуникационной сети "Интернет" </w:t>
            </w:r>
            <w:r>
              <w:rPr>
                <w:rFonts w:ascii="XO Thames" w:hAnsi="XO Thames"/>
                <w:sz w:val="22"/>
              </w:rPr>
              <w:t>www.torgi.gov.ru</w:t>
            </w:r>
            <w:r>
              <w:rPr>
                <w:rFonts w:ascii="XO Thames" w:hAnsi="XO Thames"/>
                <w:sz w:val="22"/>
              </w:rPr>
              <w:t xml:space="preserve"> в течение одного рабочего дня со дня подписания протокола о результатах аукциона.</w:t>
            </w:r>
          </w:p>
          <w:p w14:paraId="93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 десятидневный срок со дня составлен</w:t>
            </w:r>
            <w:r>
              <w:rPr>
                <w:rFonts w:ascii="XO Thames" w:hAnsi="XO Thames"/>
                <w:sz w:val="22"/>
              </w:rPr>
              <w:t>ия протокола о результатах аукциона комитет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</w:t>
            </w:r>
            <w:r>
              <w:rPr>
                <w:rFonts w:ascii="XO Thames" w:hAnsi="XO Thames"/>
                <w:sz w:val="22"/>
              </w:rPr>
              <w:t>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</w:t>
            </w:r>
            <w:r>
              <w:rPr>
                <w:rFonts w:ascii="XO Thames" w:hAnsi="XO Thames"/>
                <w:sz w:val="22"/>
              </w:rPr>
              <w:t xml:space="preserve">иона. </w:t>
            </w:r>
          </w:p>
          <w:p w14:paraId="94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</w:t>
            </w:r>
            <w:r>
              <w:rPr>
                <w:rFonts w:ascii="XO Thames" w:hAnsi="XO Thames"/>
                <w:sz w:val="22"/>
              </w:rPr>
              <w:fldChar w:fldCharType="begin"/>
            </w:r>
            <w:r>
              <w:rPr>
                <w:rFonts w:ascii="XO Thames" w:hAnsi="XO Thames"/>
                <w:sz w:val="22"/>
              </w:rPr>
              <w:instrText>HYPERLINK "http://www.torgi.gov.ru/"</w:instrText>
            </w:r>
            <w:r>
              <w:rPr>
                <w:rFonts w:ascii="XO Thames" w:hAnsi="XO Thames"/>
                <w:sz w:val="22"/>
              </w:rPr>
              <w:fldChar w:fldCharType="separate"/>
            </w:r>
            <w:r>
              <w:rPr>
                <w:rFonts w:ascii="XO Thames" w:hAnsi="XO Thames"/>
                <w:sz w:val="22"/>
              </w:rPr>
              <w:t>www.torgi.gov.ru</w:t>
            </w:r>
            <w:r>
              <w:rPr>
                <w:rFonts w:ascii="XO Thames" w:hAnsi="XO Thames"/>
                <w:sz w:val="22"/>
              </w:rPr>
              <w:fldChar w:fldCharType="end"/>
            </w:r>
            <w:r>
              <w:rPr>
                <w:rFonts w:ascii="XO Thames" w:hAnsi="XO Thames"/>
                <w:sz w:val="22"/>
              </w:rPr>
              <w:t>.</w:t>
            </w:r>
          </w:p>
          <w:p w14:paraId="95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Сведения о лицах, уклонившихся от заключения договора аренды земельного участка, являющегося предметом аукциона, и с которыми указанный договор заключается в соответствии </w:t>
            </w:r>
            <w:r>
              <w:rPr>
                <w:rFonts w:ascii="XO Thames" w:hAnsi="XO Thames"/>
                <w:sz w:val="22"/>
              </w:rPr>
              <w:t>требованиями пунктов 13, 14 или 20 статьи 39.12 Земельного кодекса Российской Федерации, включаются в реестр недобросовестных участников аукциона.</w:t>
            </w:r>
          </w:p>
          <w:p w14:paraId="96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Победитель аукциона не вправе уступать права и осуществлять перевод долга по обязательствам, возникшим из зак</w:t>
            </w:r>
            <w:r>
              <w:rPr>
                <w:rFonts w:ascii="XO Thames" w:hAnsi="XO Thames"/>
                <w:sz w:val="22"/>
              </w:rPr>
              <w:t xml:space="preserve">люченного на </w:t>
            </w:r>
            <w:r>
              <w:rPr>
                <w:rFonts w:ascii="XO Thames" w:hAnsi="XO Thames"/>
                <w:sz w:val="22"/>
              </w:rPr>
              <w:t>аукционе</w:t>
            </w:r>
            <w:r>
              <w:rPr>
                <w:rFonts w:ascii="XO Thames" w:hAnsi="XO Thames"/>
                <w:sz w:val="22"/>
              </w:rPr>
              <w:t xml:space="preserve"> договора аренды земельного участка. Обязательства по такому договору должны быть исполнены победителем аукциона лично.</w:t>
            </w:r>
          </w:p>
          <w:p w14:paraId="97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>Решение об отказе в проведен</w:t>
            </w:r>
            <w:r>
              <w:rPr>
                <w:rFonts w:ascii="XO Thames" w:hAnsi="XO Thames"/>
                <w:sz w:val="22"/>
              </w:rPr>
              <w:t>ии ау</w:t>
            </w:r>
            <w:r>
              <w:rPr>
                <w:rFonts w:ascii="XO Thames" w:hAnsi="XO Thames"/>
                <w:sz w:val="22"/>
              </w:rPr>
              <w:t>кциона может быть принято в случае выявления обстоятельств, предусмотренных пункто</w:t>
            </w:r>
            <w:r>
              <w:rPr>
                <w:rFonts w:ascii="XO Thames" w:hAnsi="XO Thames"/>
                <w:sz w:val="22"/>
              </w:rPr>
              <w:t>м 8 статьи 39.11 Земельного кодекса Российской Федерации.</w:t>
            </w:r>
          </w:p>
          <w:p w14:paraId="98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Порядок возврата задатков:</w:t>
            </w:r>
          </w:p>
          <w:p w14:paraId="99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Заявителям, не допущенным к участию в аукционе, внесенный ими задаток возвращается в течение трех рабочих дней со дня оформления протокола приема заявок на участие в аукци</w:t>
            </w:r>
            <w:r>
              <w:rPr>
                <w:rFonts w:ascii="XO Thames" w:hAnsi="XO Thames"/>
                <w:sz w:val="22"/>
              </w:rPr>
              <w:t>оне путем перечисления суммы задатка на счет заявителя по реквизитам, указанным в заявке на участие в аукционе.</w:t>
            </w:r>
          </w:p>
          <w:p w14:paraId="9A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 течение трех рабочих дней со дня подписания протокола о результатах аукциона возвращаются задатки лицам, участвовавшим в аукционе, но не побед</w:t>
            </w:r>
            <w:r>
              <w:rPr>
                <w:rFonts w:ascii="XO Thames" w:hAnsi="XO Thames"/>
                <w:sz w:val="22"/>
              </w:rPr>
              <w:t>ившим в нем, путем перечисления суммы задатка на счет участника аукциона по реквизитам, указанным в заявке на участие в аукционе.</w:t>
            </w:r>
          </w:p>
          <w:p w14:paraId="9B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Задаток, внесенный лицом, признанным победителем аукциона, задаток, внесенный иным лицом, с которым договор аренды земельного </w:t>
            </w:r>
            <w:r>
              <w:rPr>
                <w:rFonts w:ascii="XO Thames" w:hAnsi="XO Thames"/>
                <w:sz w:val="22"/>
              </w:rPr>
              <w:t>участка заключается в соответствии с пунктом 13, 14 или 20 статьи 39.12 Земельного кодекса Российской Федерации, засчитываются в счет арендной платы за земельный участок. Задаток, внесенный этими лицами, не заключившими договор аренды земельного участка вс</w:t>
            </w:r>
            <w:r>
              <w:rPr>
                <w:rFonts w:ascii="XO Thames" w:hAnsi="XO Thames"/>
                <w:sz w:val="22"/>
              </w:rPr>
              <w:t>ледствие уклонения от заключения указанного договора, не возвращается.</w:t>
            </w:r>
          </w:p>
          <w:p w14:paraId="9C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</w:t>
            </w:r>
            <w:r>
              <w:rPr>
                <w:rFonts w:ascii="XO Thames" w:hAnsi="XO Thames"/>
                <w:sz w:val="22"/>
              </w:rPr>
              <w:t>я об отзыве заявки, путем перечисления суммы задатка на счет заявителя по реквизитам, указанным в заявке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</w:t>
            </w:r>
            <w:r>
              <w:rPr>
                <w:rFonts w:ascii="XO Thames" w:hAnsi="XO Thames"/>
                <w:sz w:val="22"/>
              </w:rPr>
              <w:t>астников аукциона.</w:t>
            </w:r>
          </w:p>
          <w:p w14:paraId="9D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 случае отказа от проведения аукциона внесенные участниками задатки возвращаются в течение трех дней со дня принятия решения об отказе в проведен</w:t>
            </w:r>
            <w:r>
              <w:rPr>
                <w:rFonts w:ascii="XO Thames" w:hAnsi="XO Thames"/>
                <w:sz w:val="22"/>
              </w:rPr>
              <w:t>ии ау</w:t>
            </w:r>
            <w:r>
              <w:rPr>
                <w:rFonts w:ascii="XO Thames" w:hAnsi="XO Thames"/>
                <w:sz w:val="22"/>
              </w:rPr>
              <w:t>кциона путем перечисления суммы задатка на счет заявителя по реквизитам, указанным в з</w:t>
            </w:r>
            <w:r>
              <w:rPr>
                <w:rFonts w:ascii="XO Thames" w:hAnsi="XO Thames"/>
                <w:sz w:val="22"/>
              </w:rPr>
              <w:t>аявке на участие в аукционе.</w:t>
            </w:r>
          </w:p>
          <w:p w14:paraId="9E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      </w:r>
          </w:p>
          <w:p w14:paraId="9F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</w:p>
        </w:tc>
      </w:tr>
    </w:tbl>
    <w:p w14:paraId="A0000000">
      <w:pPr>
        <w:rPr>
          <w:rFonts w:ascii="XO Thames" w:hAnsi="XO Thames"/>
          <w:sz w:val="22"/>
        </w:rPr>
      </w:pPr>
    </w:p>
    <w:sectPr>
      <w:pgSz w:h="16838" w:w="11906"/>
      <w:pgMar w:bottom="426" w:footer="0" w:gutter="0" w:header="0" w:left="1701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basedOn w:val="Style_2"/>
    <w:link w:val="Style_4_ch"/>
    <w:uiPriority w:val="39"/>
    <w:pPr>
      <w:ind w:firstLine="0" w:left="200"/>
    </w:pPr>
  </w:style>
  <w:style w:styleId="Style_4_ch" w:type="character">
    <w:name w:val="toc 2"/>
    <w:basedOn w:val="Style_2_ch"/>
    <w:link w:val="Style_4"/>
  </w:style>
  <w:style w:styleId="Style_5" w:type="paragraph">
    <w:name w:val="Contents 1_0"/>
    <w:link w:val="Style_5_ch"/>
    <w:pPr>
      <w:widowControl w:val="0"/>
      <w:ind/>
    </w:pPr>
    <w:rPr>
      <w:rFonts w:ascii="XO Thames" w:hAnsi="XO Thames"/>
      <w:b w:val="1"/>
      <w:sz w:val="24"/>
    </w:rPr>
  </w:style>
  <w:style w:styleId="Style_5_ch" w:type="character">
    <w:name w:val="Contents 1_0"/>
    <w:link w:val="Style_5"/>
    <w:rPr>
      <w:rFonts w:ascii="XO Thames" w:hAnsi="XO Thames"/>
      <w:b w:val="1"/>
      <w:sz w:val="24"/>
    </w:rPr>
  </w:style>
  <w:style w:styleId="Style_6" w:type="paragraph">
    <w:name w:val="Heading 51"/>
    <w:link w:val="Style_6_ch"/>
    <w:rPr>
      <w:rFonts w:ascii="XO Thames" w:hAnsi="XO Thames"/>
      <w:b w:val="1"/>
      <w:sz w:val="22"/>
    </w:rPr>
  </w:style>
  <w:style w:styleId="Style_6_ch" w:type="character">
    <w:name w:val="Heading 51"/>
    <w:link w:val="Style_6"/>
    <w:rPr>
      <w:rFonts w:ascii="XO Thames" w:hAnsi="XO Thames"/>
      <w:b w:val="1"/>
      <w:sz w:val="22"/>
    </w:rPr>
  </w:style>
  <w:style w:styleId="Style_7" w:type="paragraph">
    <w:name w:val="Contents 9"/>
    <w:basedOn w:val="Style_8"/>
    <w:link w:val="Style_7_ch"/>
  </w:style>
  <w:style w:styleId="Style_7_ch" w:type="character">
    <w:name w:val="Contents 9"/>
    <w:basedOn w:val="Style_8_ch"/>
    <w:link w:val="Style_7"/>
  </w:style>
  <w:style w:styleId="Style_9" w:type="paragraph">
    <w:name w:val="toc 4"/>
    <w:basedOn w:val="Style_2"/>
    <w:link w:val="Style_9_ch"/>
    <w:uiPriority w:val="39"/>
    <w:pPr>
      <w:ind w:firstLine="0" w:left="600"/>
    </w:pPr>
  </w:style>
  <w:style w:styleId="Style_9_ch" w:type="character">
    <w:name w:val="toc 4"/>
    <w:basedOn w:val="Style_2_ch"/>
    <w:link w:val="Style_9"/>
  </w:style>
  <w:style w:styleId="Style_10" w:type="paragraph">
    <w:name w:val="Contents 4"/>
    <w:basedOn w:val="Style_8"/>
    <w:link w:val="Style_10_ch"/>
  </w:style>
  <w:style w:styleId="Style_10_ch" w:type="character">
    <w:name w:val="Contents 4"/>
    <w:basedOn w:val="Style_8_ch"/>
    <w:link w:val="Style_10"/>
  </w:style>
  <w:style w:styleId="Style_11" w:type="paragraph">
    <w:name w:val="Заголовок_0"/>
    <w:next w:val="Style_12"/>
    <w:link w:val="Style_11_ch"/>
    <w:pPr>
      <w:widowControl w:val="0"/>
      <w:ind/>
    </w:pPr>
    <w:rPr>
      <w:rFonts w:ascii="Liberation Sans" w:hAnsi="Liberation Sans"/>
      <w:sz w:val="28"/>
    </w:rPr>
  </w:style>
  <w:style w:styleId="Style_11_ch" w:type="character">
    <w:name w:val="Заголовок_0"/>
    <w:link w:val="Style_11"/>
    <w:rPr>
      <w:rFonts w:ascii="Liberation Sans" w:hAnsi="Liberation Sans"/>
      <w:sz w:val="28"/>
    </w:rPr>
  </w:style>
  <w:style w:styleId="Style_13" w:type="paragraph">
    <w:name w:val="toc 6"/>
    <w:basedOn w:val="Style_2"/>
    <w:link w:val="Style_13_ch"/>
    <w:uiPriority w:val="39"/>
    <w:pPr>
      <w:ind w:firstLine="0" w:left="1000"/>
    </w:pPr>
  </w:style>
  <w:style w:styleId="Style_13_ch" w:type="character">
    <w:name w:val="toc 6"/>
    <w:basedOn w:val="Style_2_ch"/>
    <w:link w:val="Style_13"/>
  </w:style>
  <w:style w:styleId="Style_14" w:type="paragraph">
    <w:name w:val="toc 7"/>
    <w:basedOn w:val="Style_2"/>
    <w:link w:val="Style_14_ch"/>
    <w:uiPriority w:val="39"/>
    <w:pPr>
      <w:ind w:firstLine="0" w:left="1200"/>
    </w:pPr>
  </w:style>
  <w:style w:styleId="Style_14_ch" w:type="character">
    <w:name w:val="toc 7"/>
    <w:basedOn w:val="Style_2_ch"/>
    <w:link w:val="Style_14"/>
  </w:style>
  <w:style w:styleId="Style_15" w:type="paragraph">
    <w:name w:val="Основной текст (2)_0"/>
    <w:link w:val="Style_15_ch"/>
    <w:rPr>
      <w:rFonts w:ascii="Times New Roman" w:hAnsi="Times New Roman"/>
      <w:sz w:val="24"/>
      <w:u w:val="single"/>
    </w:rPr>
  </w:style>
  <w:style w:styleId="Style_15_ch" w:type="character">
    <w:name w:val="Основной текст (2)_0"/>
    <w:link w:val="Style_15"/>
    <w:rPr>
      <w:rFonts w:ascii="Times New Roman" w:hAnsi="Times New Roman"/>
      <w:sz w:val="24"/>
      <w:u w:val="single"/>
    </w:rPr>
  </w:style>
  <w:style w:styleId="Style_16" w:type="paragraph">
    <w:name w:val="Основной текст (2)_"/>
    <w:link w:val="Style_16_ch"/>
    <w:rPr>
      <w:rFonts w:ascii="Times New Roman" w:hAnsi="Times New Roman"/>
      <w:sz w:val="24"/>
    </w:rPr>
  </w:style>
  <w:style w:styleId="Style_16_ch" w:type="character">
    <w:name w:val="Основной текст (2)_"/>
    <w:link w:val="Style_16"/>
    <w:rPr>
      <w:rFonts w:ascii="Times New Roman" w:hAnsi="Times New Roman"/>
      <w:sz w:val="24"/>
    </w:rPr>
  </w:style>
  <w:style w:styleId="Style_17" w:type="paragraph">
    <w:name w:val="Internet link_0"/>
    <w:link w:val="Style_17_ch"/>
    <w:rPr>
      <w:color w:val="0000FF"/>
      <w:sz w:val="24"/>
      <w:u w:val="single"/>
    </w:rPr>
  </w:style>
  <w:style w:styleId="Style_17_ch" w:type="character">
    <w:name w:val="Internet link_0"/>
    <w:link w:val="Style_17"/>
    <w:rPr>
      <w:color w:val="0000FF"/>
      <w:sz w:val="24"/>
      <w:u w:val="single"/>
    </w:rPr>
  </w:style>
  <w:style w:styleId="Style_18" w:type="paragraph">
    <w:name w:val="heading 3"/>
    <w:basedOn w:val="Style_2"/>
    <w:link w:val="Style_1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8_ch" w:type="character">
    <w:name w:val="heading 3"/>
    <w:basedOn w:val="Style_2_ch"/>
    <w:link w:val="Style_18"/>
    <w:rPr>
      <w:rFonts w:ascii="XO Thames" w:hAnsi="XO Thames"/>
      <w:b w:val="1"/>
      <w:i w:val="1"/>
    </w:rPr>
  </w:style>
  <w:style w:styleId="Style_19" w:type="paragraph">
    <w:name w:val="Обычный1"/>
    <w:link w:val="Style_19_ch"/>
    <w:rPr>
      <w:rFonts w:ascii="Times New Roman" w:hAnsi="Times New Roman"/>
      <w:sz w:val="24"/>
    </w:rPr>
  </w:style>
  <w:style w:styleId="Style_19_ch" w:type="character">
    <w:name w:val="Обычный1"/>
    <w:link w:val="Style_19"/>
    <w:rPr>
      <w:rFonts w:ascii="Times New Roman" w:hAnsi="Times New Roman"/>
      <w:sz w:val="24"/>
    </w:rPr>
  </w:style>
  <w:style w:styleId="Style_20" w:type="paragraph">
    <w:name w:val="ConsNormal"/>
    <w:link w:val="Style_20_ch"/>
    <w:rPr>
      <w:rFonts w:ascii="Arial" w:hAnsi="Arial"/>
      <w:sz w:val="18"/>
    </w:rPr>
  </w:style>
  <w:style w:styleId="Style_20_ch" w:type="character">
    <w:name w:val="ConsNormal"/>
    <w:link w:val="Style_20"/>
    <w:rPr>
      <w:rFonts w:ascii="Arial" w:hAnsi="Arial"/>
      <w:sz w:val="18"/>
    </w:rPr>
  </w:style>
  <w:style w:styleId="Style_21" w:type="paragraph">
    <w:name w:val="Contents 7_0"/>
    <w:link w:val="Style_21_ch"/>
    <w:pPr>
      <w:widowControl w:val="0"/>
      <w:ind/>
    </w:pPr>
    <w:rPr>
      <w:sz w:val="24"/>
    </w:rPr>
  </w:style>
  <w:style w:styleId="Style_21_ch" w:type="character">
    <w:name w:val="Contents 7_0"/>
    <w:link w:val="Style_21"/>
    <w:rPr>
      <w:sz w:val="24"/>
    </w:rPr>
  </w:style>
  <w:style w:styleId="Style_22" w:type="paragraph">
    <w:name w:val="Основной текст (2) + Интервал 1 pt_0"/>
    <w:link w:val="Style_22_ch"/>
    <w:rPr>
      <w:rFonts w:ascii="Times New Roman" w:hAnsi="Times New Roman"/>
      <w:spacing w:val="30"/>
      <w:sz w:val="24"/>
      <w:u w:val="single"/>
    </w:rPr>
  </w:style>
  <w:style w:styleId="Style_22_ch" w:type="character">
    <w:name w:val="Основной текст (2) + Интервал 1 pt_0"/>
    <w:link w:val="Style_22"/>
    <w:rPr>
      <w:rFonts w:ascii="Times New Roman" w:hAnsi="Times New Roman"/>
      <w:spacing w:val="30"/>
      <w:sz w:val="24"/>
      <w:u w:val="single"/>
    </w:rPr>
  </w:style>
  <w:style w:styleId="Style_23" w:type="paragraph">
    <w:name w:val="Обычный1"/>
    <w:link w:val="Style_23_ch"/>
    <w:rPr>
      <w:rFonts w:ascii="Times New Roman" w:hAnsi="Times New Roman"/>
      <w:sz w:val="24"/>
    </w:rPr>
  </w:style>
  <w:style w:styleId="Style_23_ch" w:type="character">
    <w:name w:val="Обычный1"/>
    <w:link w:val="Style_23"/>
    <w:rPr>
      <w:rFonts w:ascii="Times New Roman" w:hAnsi="Times New Roman"/>
      <w:sz w:val="24"/>
    </w:rPr>
  </w:style>
  <w:style w:styleId="Style_24" w:type="paragraph">
    <w:name w:val="Contents 2_0"/>
    <w:basedOn w:val="Style_25"/>
    <w:link w:val="Style_24_ch"/>
  </w:style>
  <w:style w:styleId="Style_24_ch" w:type="character">
    <w:name w:val="Contents 2_0"/>
    <w:basedOn w:val="Style_25_ch"/>
    <w:link w:val="Style_24"/>
  </w:style>
  <w:style w:styleId="Style_26" w:type="paragraph">
    <w:name w:val="Contents 3_0"/>
    <w:link w:val="Style_26_ch"/>
    <w:rPr>
      <w:sz w:val="24"/>
    </w:rPr>
  </w:style>
  <w:style w:styleId="Style_26_ch" w:type="character">
    <w:name w:val="Contents 3_0"/>
    <w:link w:val="Style_26"/>
    <w:rPr>
      <w:sz w:val="24"/>
    </w:rPr>
  </w:style>
  <w:style w:styleId="Style_27" w:type="paragraph">
    <w:name w:val="Caption1"/>
    <w:link w:val="Style_27_ch"/>
    <w:rPr>
      <w:rFonts w:ascii="Times New Roman" w:hAnsi="Times New Roman"/>
      <w:i w:val="1"/>
      <w:sz w:val="24"/>
    </w:rPr>
  </w:style>
  <w:style w:styleId="Style_27_ch" w:type="character">
    <w:name w:val="Caption1"/>
    <w:link w:val="Style_27"/>
    <w:rPr>
      <w:rFonts w:ascii="Times New Roman" w:hAnsi="Times New Roman"/>
      <w:i w:val="1"/>
      <w:sz w:val="24"/>
    </w:rPr>
  </w:style>
  <w:style w:styleId="Style_28" w:type="paragraph">
    <w:name w:val="Основной текст (2) + Интервал 1 pt"/>
    <w:link w:val="Style_28_ch"/>
    <w:rPr>
      <w:rFonts w:ascii="Times New Roman" w:hAnsi="Times New Roman"/>
      <w:spacing w:val="30"/>
      <w:sz w:val="24"/>
      <w:u w:val="single"/>
    </w:rPr>
  </w:style>
  <w:style w:styleId="Style_28_ch" w:type="character">
    <w:name w:val="Основной текст (2) + Интервал 1 pt"/>
    <w:link w:val="Style_28"/>
    <w:rPr>
      <w:rFonts w:ascii="Times New Roman" w:hAnsi="Times New Roman"/>
      <w:spacing w:val="30"/>
      <w:sz w:val="24"/>
      <w:u w:val="single"/>
    </w:rPr>
  </w:style>
  <w:style w:styleId="Style_29" w:type="paragraph">
    <w:name w:val="Heading 21"/>
    <w:link w:val="Style_29_ch"/>
    <w:rPr>
      <w:rFonts w:ascii="XO Thames" w:hAnsi="XO Thames"/>
      <w:b w:val="1"/>
      <w:color w:val="00A0FF"/>
      <w:sz w:val="26"/>
    </w:rPr>
  </w:style>
  <w:style w:styleId="Style_29_ch" w:type="character">
    <w:name w:val="Heading 21"/>
    <w:link w:val="Style_29"/>
    <w:rPr>
      <w:rFonts w:ascii="XO Thames" w:hAnsi="XO Thames"/>
      <w:b w:val="1"/>
      <w:color w:val="00A0FF"/>
      <w:sz w:val="26"/>
    </w:rPr>
  </w:style>
  <w:style w:styleId="Style_30" w:type="paragraph">
    <w:name w:val="Заголовок"/>
    <w:link w:val="Style_30_ch"/>
    <w:rPr>
      <w:rFonts w:ascii="Liberation Sans" w:hAnsi="Liberation Sans"/>
      <w:sz w:val="28"/>
    </w:rPr>
  </w:style>
  <w:style w:styleId="Style_30_ch" w:type="character">
    <w:name w:val="Заголовок"/>
    <w:link w:val="Style_30"/>
    <w:rPr>
      <w:rFonts w:ascii="Liberation Sans" w:hAnsi="Liberation Sans"/>
      <w:sz w:val="28"/>
    </w:rPr>
  </w:style>
  <w:style w:styleId="Style_31" w:type="paragraph">
    <w:name w:val="Internet link"/>
    <w:link w:val="Style_31_ch"/>
    <w:rPr>
      <w:color w:val="0000FF"/>
      <w:sz w:val="24"/>
      <w:u w:val="single"/>
    </w:rPr>
  </w:style>
  <w:style w:styleId="Style_31_ch" w:type="character">
    <w:name w:val="Internet link"/>
    <w:link w:val="Style_31"/>
    <w:rPr>
      <w:color w:val="0000FF"/>
      <w:sz w:val="24"/>
      <w:u w:val="single"/>
    </w:rPr>
  </w:style>
  <w:style w:styleId="Style_32" w:type="paragraph">
    <w:name w:val="Contents 3"/>
    <w:link w:val="Style_32_ch"/>
    <w:rPr>
      <w:sz w:val="24"/>
    </w:rPr>
  </w:style>
  <w:style w:styleId="Style_32_ch" w:type="character">
    <w:name w:val="Contents 3"/>
    <w:link w:val="Style_32"/>
    <w:rPr>
      <w:sz w:val="24"/>
    </w:rPr>
  </w:style>
  <w:style w:styleId="Style_33" w:type="paragraph">
    <w:name w:val="Интернет-ссылка"/>
    <w:link w:val="Style_33_ch"/>
    <w:rPr>
      <w:color w:val="0000FF"/>
      <w:u w:val="single"/>
    </w:rPr>
  </w:style>
  <w:style w:styleId="Style_33_ch" w:type="character">
    <w:name w:val="Интернет-ссылка"/>
    <w:link w:val="Style_33"/>
    <w:rPr>
      <w:color w:val="0000FF"/>
      <w:u w:val="single"/>
    </w:rPr>
  </w:style>
  <w:style w:styleId="Style_34" w:type="paragraph">
    <w:name w:val="Гиперссылка1"/>
    <w:link w:val="Style_34_ch"/>
    <w:rPr>
      <w:color w:val="0000FF"/>
      <w:u w:val="single"/>
    </w:rPr>
  </w:style>
  <w:style w:styleId="Style_34_ch" w:type="character">
    <w:name w:val="Гиперссылка1"/>
    <w:link w:val="Style_34"/>
    <w:rPr>
      <w:color w:val="0000FF"/>
      <w:u w:val="single"/>
    </w:rPr>
  </w:style>
  <w:style w:styleId="Style_35" w:type="paragraph">
    <w:name w:val="ListLabel 1_0"/>
    <w:link w:val="Style_35_ch"/>
    <w:rPr>
      <w:rFonts w:ascii="PT Astra Serif" w:hAnsi="PT Astra Serif"/>
      <w:sz w:val="22"/>
    </w:rPr>
  </w:style>
  <w:style w:styleId="Style_35_ch" w:type="character">
    <w:name w:val="ListLabel 1_0"/>
    <w:link w:val="Style_35"/>
    <w:rPr>
      <w:rFonts w:ascii="PT Astra Serif" w:hAnsi="PT Astra Serif"/>
      <w:sz w:val="22"/>
    </w:rPr>
  </w:style>
  <w:style w:styleId="Style_36" w:type="paragraph">
    <w:name w:val="Contents 6_0"/>
    <w:basedOn w:val="Style_2"/>
    <w:link w:val="Style_36_ch"/>
    <w:pPr>
      <w:widowControl w:val="0"/>
      <w:ind/>
    </w:pPr>
    <w:rPr>
      <w:rFonts w:ascii="Calibri" w:hAnsi="Calibri"/>
    </w:rPr>
  </w:style>
  <w:style w:styleId="Style_36_ch" w:type="character">
    <w:name w:val="Contents 6_0"/>
    <w:basedOn w:val="Style_2_ch"/>
    <w:link w:val="Style_36"/>
    <w:rPr>
      <w:rFonts w:ascii="Calibri" w:hAnsi="Calibri"/>
    </w:rPr>
  </w:style>
  <w:style w:styleId="Style_37" w:type="paragraph">
    <w:name w:val="Contents 2"/>
    <w:basedOn w:val="Style_8"/>
    <w:link w:val="Style_37_ch"/>
  </w:style>
  <w:style w:styleId="Style_37_ch" w:type="character">
    <w:name w:val="Contents 2"/>
    <w:basedOn w:val="Style_8_ch"/>
    <w:link w:val="Style_37"/>
  </w:style>
  <w:style w:styleId="Style_38" w:type="paragraph">
    <w:name w:val="ConsPlusNormal"/>
    <w:link w:val="Style_38_ch"/>
    <w:rPr>
      <w:rFonts w:ascii="Arial" w:hAnsi="Arial"/>
      <w:sz w:val="24"/>
    </w:rPr>
  </w:style>
  <w:style w:styleId="Style_38_ch" w:type="character">
    <w:name w:val="ConsPlusNormal"/>
    <w:link w:val="Style_38"/>
    <w:rPr>
      <w:rFonts w:ascii="Arial" w:hAnsi="Arial"/>
      <w:sz w:val="24"/>
    </w:rPr>
  </w:style>
  <w:style w:styleId="Style_39" w:type="paragraph">
    <w:name w:val="toc 3"/>
    <w:basedOn w:val="Style_2"/>
    <w:link w:val="Style_39_ch"/>
    <w:uiPriority w:val="39"/>
    <w:pPr>
      <w:ind w:firstLine="0" w:left="400"/>
    </w:pPr>
  </w:style>
  <w:style w:styleId="Style_39_ch" w:type="character">
    <w:name w:val="toc 3"/>
    <w:basedOn w:val="Style_2_ch"/>
    <w:link w:val="Style_39"/>
  </w:style>
  <w:style w:styleId="Style_40" w:type="paragraph">
    <w:name w:val="ConsPlusNormal_0"/>
    <w:link w:val="Style_40_ch"/>
    <w:rPr>
      <w:rFonts w:ascii="Arial" w:hAnsi="Arial"/>
      <w:sz w:val="24"/>
    </w:rPr>
  </w:style>
  <w:style w:styleId="Style_40_ch" w:type="character">
    <w:name w:val="ConsPlusNormal_0"/>
    <w:link w:val="Style_40"/>
    <w:rPr>
      <w:rFonts w:ascii="Arial" w:hAnsi="Arial"/>
      <w:sz w:val="24"/>
    </w:rPr>
  </w:style>
  <w:style w:styleId="Style_41" w:type="paragraph">
    <w:name w:val="Balloon Text1"/>
    <w:link w:val="Style_41_ch"/>
    <w:rPr>
      <w:rFonts w:ascii="Tahoma" w:hAnsi="Tahoma"/>
      <w:sz w:val="16"/>
    </w:rPr>
  </w:style>
  <w:style w:styleId="Style_41_ch" w:type="character">
    <w:name w:val="Balloon Text1"/>
    <w:link w:val="Style_41"/>
    <w:rPr>
      <w:rFonts w:ascii="Tahoma" w:hAnsi="Tahoma"/>
      <w:sz w:val="16"/>
    </w:rPr>
  </w:style>
  <w:style w:styleId="Style_42" w:type="paragraph">
    <w:name w:val="List1"/>
    <w:basedOn w:val="Style_43"/>
    <w:link w:val="Style_42_ch"/>
  </w:style>
  <w:style w:styleId="Style_42_ch" w:type="character">
    <w:name w:val="List1"/>
    <w:basedOn w:val="Style_43_ch"/>
    <w:link w:val="Style_42"/>
  </w:style>
  <w:style w:styleId="Style_44" w:type="paragraph">
    <w:name w:val="ListLabel 2"/>
    <w:link w:val="Style_44_ch"/>
    <w:rPr>
      <w:rFonts w:ascii="PT Astra Serif" w:hAnsi="PT Astra Serif"/>
      <w:sz w:val="22"/>
    </w:rPr>
  </w:style>
  <w:style w:styleId="Style_44_ch" w:type="character">
    <w:name w:val="ListLabel 2"/>
    <w:link w:val="Style_44"/>
    <w:rPr>
      <w:rFonts w:ascii="PT Astra Serif" w:hAnsi="PT Astra Serif"/>
      <w:sz w:val="22"/>
    </w:rPr>
  </w:style>
  <w:style w:styleId="Style_45" w:type="paragraph">
    <w:name w:val="Heading 41"/>
    <w:link w:val="Style_45_ch"/>
    <w:rPr>
      <w:rFonts w:ascii="XO Thames" w:hAnsi="XO Thames"/>
      <w:b w:val="1"/>
      <w:color w:val="595959"/>
      <w:sz w:val="26"/>
    </w:rPr>
  </w:style>
  <w:style w:styleId="Style_45_ch" w:type="character">
    <w:name w:val="Heading 41"/>
    <w:link w:val="Style_45"/>
    <w:rPr>
      <w:rFonts w:ascii="XO Thames" w:hAnsi="XO Thames"/>
      <w:b w:val="1"/>
      <w:color w:val="595959"/>
      <w:sz w:val="26"/>
    </w:rPr>
  </w:style>
  <w:style w:styleId="Style_46" w:type="paragraph">
    <w:name w:val="Интернет-ссылка_0"/>
    <w:link w:val="Style_46_ch"/>
    <w:rPr>
      <w:color w:val="0000FF"/>
      <w:sz w:val="24"/>
      <w:u w:val="single"/>
    </w:rPr>
  </w:style>
  <w:style w:styleId="Style_46_ch" w:type="character">
    <w:name w:val="Интернет-ссылка_0"/>
    <w:link w:val="Style_46"/>
    <w:rPr>
      <w:color w:val="0000FF"/>
      <w:sz w:val="24"/>
      <w:u w:val="single"/>
    </w:rPr>
  </w:style>
  <w:style w:styleId="Style_47" w:type="paragraph">
    <w:name w:val="Heading 11"/>
    <w:link w:val="Style_47_ch"/>
    <w:rPr>
      <w:rFonts w:ascii="XO Thames" w:hAnsi="XO Thames"/>
      <w:b w:val="1"/>
      <w:sz w:val="32"/>
    </w:rPr>
  </w:style>
  <w:style w:styleId="Style_47_ch" w:type="character">
    <w:name w:val="Heading 11"/>
    <w:link w:val="Style_47"/>
    <w:rPr>
      <w:rFonts w:ascii="XO Thames" w:hAnsi="XO Thames"/>
      <w:b w:val="1"/>
      <w:sz w:val="32"/>
    </w:rPr>
  </w:style>
  <w:style w:styleId="Style_25" w:type="paragraph">
    <w:name w:val="Standard_0"/>
    <w:link w:val="Style_25_ch"/>
    <w:rPr>
      <w:rFonts w:ascii="Times New Roman" w:hAnsi="Times New Roman"/>
      <w:sz w:val="24"/>
    </w:rPr>
  </w:style>
  <w:style w:styleId="Style_25_ch" w:type="character">
    <w:name w:val="Standard_0"/>
    <w:link w:val="Style_25"/>
    <w:rPr>
      <w:rFonts w:ascii="Times New Roman" w:hAnsi="Times New Roman"/>
      <w:sz w:val="24"/>
    </w:rPr>
  </w:style>
  <w:style w:styleId="Style_48" w:type="paragraph">
    <w:name w:val="heading 5"/>
    <w:basedOn w:val="Style_2"/>
    <w:link w:val="Style_48_ch"/>
    <w:uiPriority w:val="9"/>
    <w:qFormat/>
    <w:pPr>
      <w:widowControl w:val="0"/>
      <w:ind/>
      <w:outlineLvl w:val="4"/>
    </w:pPr>
    <w:rPr>
      <w:rFonts w:ascii="XO Thames" w:hAnsi="XO Thames"/>
      <w:b w:val="1"/>
      <w:sz w:val="22"/>
    </w:rPr>
  </w:style>
  <w:style w:styleId="Style_48_ch" w:type="character">
    <w:name w:val="heading 5"/>
    <w:basedOn w:val="Style_2_ch"/>
    <w:link w:val="Style_48"/>
    <w:rPr>
      <w:rFonts w:ascii="XO Thames" w:hAnsi="XO Thames"/>
      <w:b w:val="1"/>
      <w:sz w:val="22"/>
    </w:rPr>
  </w:style>
  <w:style w:styleId="Style_49" w:type="paragraph">
    <w:name w:val="Contents 7"/>
    <w:link w:val="Style_49_ch"/>
    <w:rPr>
      <w:sz w:val="24"/>
    </w:rPr>
  </w:style>
  <w:style w:styleId="Style_49_ch" w:type="character">
    <w:name w:val="Contents 7"/>
    <w:link w:val="Style_49"/>
    <w:rPr>
      <w:sz w:val="24"/>
    </w:rPr>
  </w:style>
  <w:style w:styleId="Style_50" w:type="paragraph">
    <w:name w:val="Основной текст (2)__0"/>
    <w:link w:val="Style_50_ch"/>
    <w:rPr>
      <w:rFonts w:ascii="Times New Roman" w:hAnsi="Times New Roman"/>
      <w:sz w:val="24"/>
    </w:rPr>
  </w:style>
  <w:style w:styleId="Style_50_ch" w:type="character">
    <w:name w:val="Основной текст (2)__0"/>
    <w:link w:val="Style_50"/>
    <w:rPr>
      <w:rFonts w:ascii="Times New Roman" w:hAnsi="Times New Roman"/>
      <w:sz w:val="24"/>
    </w:rPr>
  </w:style>
  <w:style w:styleId="Style_51" w:type="paragraph">
    <w:name w:val="heading 1"/>
    <w:link w:val="Style_51_ch"/>
    <w:uiPriority w:val="9"/>
    <w:qFormat/>
    <w:pPr>
      <w:widowControl w:val="0"/>
      <w:ind/>
      <w:outlineLvl w:val="0"/>
    </w:pPr>
    <w:rPr>
      <w:rFonts w:ascii="XO Thames" w:hAnsi="XO Thames"/>
      <w:b w:val="1"/>
      <w:sz w:val="32"/>
    </w:rPr>
  </w:style>
  <w:style w:styleId="Style_51_ch" w:type="character">
    <w:name w:val="heading 1"/>
    <w:link w:val="Style_51"/>
    <w:rPr>
      <w:rFonts w:ascii="XO Thames" w:hAnsi="XO Thames"/>
      <w:b w:val="1"/>
      <w:sz w:val="32"/>
    </w:rPr>
  </w:style>
  <w:style w:styleId="Style_52" w:type="paragraph">
    <w:name w:val="List"/>
    <w:link w:val="Style_52_ch"/>
    <w:pPr>
      <w:widowControl w:val="0"/>
      <w:ind/>
    </w:pPr>
    <w:rPr>
      <w:sz w:val="24"/>
    </w:rPr>
  </w:style>
  <w:style w:styleId="Style_52_ch" w:type="character">
    <w:name w:val="List"/>
    <w:link w:val="Style_52"/>
    <w:rPr>
      <w:sz w:val="24"/>
    </w:rPr>
  </w:style>
  <w:style w:styleId="Style_53" w:type="paragraph">
    <w:name w:val="ListLabel 1"/>
    <w:link w:val="Style_53_ch"/>
    <w:rPr>
      <w:rFonts w:ascii="PT Astra Serif" w:hAnsi="PT Astra Serif"/>
      <w:sz w:val="22"/>
    </w:rPr>
  </w:style>
  <w:style w:styleId="Style_53_ch" w:type="character">
    <w:name w:val="ListLabel 1"/>
    <w:link w:val="Style_53"/>
    <w:rPr>
      <w:rFonts w:ascii="PT Astra Serif" w:hAnsi="PT Astra Serif"/>
      <w:sz w:val="22"/>
    </w:rPr>
  </w:style>
  <w:style w:styleId="Style_54" w:type="paragraph">
    <w:name w:val="Hyperlink"/>
    <w:link w:val="Style_54_ch"/>
    <w:rPr>
      <w:color w:val="0000FF"/>
      <w:u w:val="single"/>
    </w:rPr>
  </w:style>
  <w:style w:styleId="Style_54_ch" w:type="character">
    <w:name w:val="Hyperlink"/>
    <w:link w:val="Style_54"/>
    <w:rPr>
      <w:color w:val="0000FF"/>
      <w:u w:val="single"/>
    </w:rPr>
  </w:style>
  <w:style w:styleId="Style_55" w:type="paragraph">
    <w:name w:val="Footnote"/>
    <w:link w:val="Style_55_ch"/>
    <w:rPr>
      <w:rFonts w:ascii="XO Thames" w:hAnsi="XO Thames"/>
      <w:sz w:val="22"/>
    </w:rPr>
  </w:style>
  <w:style w:styleId="Style_55_ch" w:type="character">
    <w:name w:val="Footnote"/>
    <w:link w:val="Style_55"/>
    <w:rPr>
      <w:rFonts w:ascii="XO Thames" w:hAnsi="XO Thames"/>
      <w:sz w:val="22"/>
    </w:rPr>
  </w:style>
  <w:style w:styleId="Style_56" w:type="paragraph">
    <w:name w:val="Contents 6"/>
    <w:link w:val="Style_56_ch"/>
    <w:rPr>
      <w:sz w:val="24"/>
    </w:rPr>
  </w:style>
  <w:style w:styleId="Style_56_ch" w:type="character">
    <w:name w:val="Contents 6"/>
    <w:link w:val="Style_56"/>
    <w:rPr>
      <w:sz w:val="24"/>
    </w:rPr>
  </w:style>
  <w:style w:styleId="Style_57" w:type="paragraph">
    <w:name w:val="toc 1"/>
    <w:basedOn w:val="Style_2"/>
    <w:link w:val="Style_57_ch"/>
    <w:uiPriority w:val="39"/>
    <w:rPr>
      <w:rFonts w:ascii="XO Thames" w:hAnsi="XO Thames"/>
      <w:b w:val="1"/>
    </w:rPr>
  </w:style>
  <w:style w:styleId="Style_57_ch" w:type="character">
    <w:name w:val="toc 1"/>
    <w:basedOn w:val="Style_2_ch"/>
    <w:link w:val="Style_57"/>
    <w:rPr>
      <w:rFonts w:ascii="XO Thames" w:hAnsi="XO Thames"/>
      <w:b w:val="1"/>
    </w:rPr>
  </w:style>
  <w:style w:styleId="Style_58" w:type="paragraph">
    <w:name w:val="Основной шрифт абзаца1"/>
    <w:link w:val="Style_58_ch"/>
  </w:style>
  <w:style w:styleId="Style_58_ch" w:type="character">
    <w:name w:val="Основной шрифт абзаца1"/>
    <w:link w:val="Style_58"/>
  </w:style>
  <w:style w:styleId="Style_59" w:type="paragraph">
    <w:name w:val="Contents 5"/>
    <w:basedOn w:val="Style_8"/>
    <w:link w:val="Style_59_ch"/>
  </w:style>
  <w:style w:styleId="Style_59_ch" w:type="character">
    <w:name w:val="Contents 5"/>
    <w:basedOn w:val="Style_8_ch"/>
    <w:link w:val="Style_59"/>
  </w:style>
  <w:style w:styleId="Style_60" w:type="paragraph">
    <w:name w:val="Header and Footer"/>
    <w:link w:val="Style_60_ch"/>
    <w:rPr>
      <w:rFonts w:ascii="XO Thames" w:hAnsi="XO Thames"/>
    </w:rPr>
  </w:style>
  <w:style w:styleId="Style_60_ch" w:type="character">
    <w:name w:val="Header and Footer"/>
    <w:link w:val="Style_60"/>
    <w:rPr>
      <w:rFonts w:ascii="XO Thames" w:hAnsi="XO Thames"/>
    </w:rPr>
  </w:style>
  <w:style w:styleId="Style_12" w:type="paragraph">
    <w:name w:val="Body Text"/>
    <w:basedOn w:val="Style_2"/>
    <w:link w:val="Style_12_ch"/>
    <w:pPr>
      <w:spacing w:after="140" w:line="276" w:lineRule="auto"/>
      <w:ind/>
    </w:pPr>
  </w:style>
  <w:style w:styleId="Style_12_ch" w:type="character">
    <w:name w:val="Body Text"/>
    <w:basedOn w:val="Style_2_ch"/>
    <w:link w:val="Style_12"/>
  </w:style>
  <w:style w:styleId="Style_61" w:type="paragraph">
    <w:name w:val="caption"/>
    <w:link w:val="Style_61_ch"/>
    <w:pPr>
      <w:widowControl w:val="0"/>
      <w:ind/>
    </w:pPr>
    <w:rPr>
      <w:i w:val="1"/>
      <w:sz w:val="24"/>
    </w:rPr>
  </w:style>
  <w:style w:styleId="Style_61_ch" w:type="character">
    <w:name w:val="caption"/>
    <w:link w:val="Style_61"/>
    <w:rPr>
      <w:i w:val="1"/>
      <w:sz w:val="24"/>
    </w:rPr>
  </w:style>
  <w:style w:styleId="Style_62" w:type="paragraph">
    <w:name w:val="toc 10_0"/>
    <w:link w:val="Style_62_ch"/>
    <w:rPr>
      <w:sz w:val="24"/>
    </w:rPr>
  </w:style>
  <w:style w:styleId="Style_62_ch" w:type="character">
    <w:name w:val="toc 10_0"/>
    <w:link w:val="Style_62"/>
    <w:rPr>
      <w:sz w:val="24"/>
    </w:rPr>
  </w:style>
  <w:style w:styleId="Style_63" w:type="paragraph">
    <w:name w:val="Contents 8"/>
    <w:basedOn w:val="Style_8"/>
    <w:link w:val="Style_63_ch"/>
  </w:style>
  <w:style w:styleId="Style_63_ch" w:type="character">
    <w:name w:val="Contents 8"/>
    <w:basedOn w:val="Style_8_ch"/>
    <w:link w:val="Style_63"/>
  </w:style>
  <w:style w:styleId="Style_64" w:type="paragraph">
    <w:name w:val="toc 9"/>
    <w:basedOn w:val="Style_2"/>
    <w:link w:val="Style_64_ch"/>
    <w:uiPriority w:val="39"/>
    <w:pPr>
      <w:ind w:firstLine="0" w:left="1600"/>
    </w:pPr>
  </w:style>
  <w:style w:styleId="Style_64_ch" w:type="character">
    <w:name w:val="toc 9"/>
    <w:basedOn w:val="Style_2_ch"/>
    <w:link w:val="Style_64"/>
  </w:style>
  <w:style w:styleId="Style_65" w:type="paragraph">
    <w:name w:val="Contents 8_0"/>
    <w:basedOn w:val="Style_25"/>
    <w:link w:val="Style_65_ch"/>
    <w:rPr>
      <w:rFonts w:ascii="Calibri" w:hAnsi="Calibri"/>
    </w:rPr>
  </w:style>
  <w:style w:styleId="Style_65_ch" w:type="character">
    <w:name w:val="Contents 8_0"/>
    <w:basedOn w:val="Style_25_ch"/>
    <w:link w:val="Style_65"/>
    <w:rPr>
      <w:rFonts w:ascii="Calibri" w:hAnsi="Calibri"/>
    </w:rPr>
  </w:style>
  <w:style w:styleId="Style_66" w:type="paragraph">
    <w:name w:val="toc 8"/>
    <w:basedOn w:val="Style_2"/>
    <w:link w:val="Style_66_ch"/>
    <w:uiPriority w:val="39"/>
    <w:pPr>
      <w:ind w:firstLine="0" w:left="1400"/>
    </w:pPr>
  </w:style>
  <w:style w:styleId="Style_66_ch" w:type="character">
    <w:name w:val="toc 8"/>
    <w:basedOn w:val="Style_2_ch"/>
    <w:link w:val="Style_66"/>
  </w:style>
  <w:style w:styleId="Style_67" w:type="paragraph">
    <w:name w:val="ListLabel 2_0"/>
    <w:link w:val="Style_67_ch"/>
    <w:rPr>
      <w:rFonts w:ascii="PT Astra Serif" w:hAnsi="PT Astra Serif"/>
      <w:sz w:val="22"/>
    </w:rPr>
  </w:style>
  <w:style w:styleId="Style_67_ch" w:type="character">
    <w:name w:val="ListLabel 2_0"/>
    <w:link w:val="Style_67"/>
    <w:rPr>
      <w:rFonts w:ascii="PT Astra Serif" w:hAnsi="PT Astra Serif"/>
      <w:sz w:val="22"/>
    </w:rPr>
  </w:style>
  <w:style w:styleId="Style_68" w:type="paragraph">
    <w:name w:val="ConsNormal_0"/>
    <w:link w:val="Style_68_ch"/>
    <w:rPr>
      <w:rFonts w:ascii="Arial" w:hAnsi="Arial"/>
      <w:sz w:val="18"/>
    </w:rPr>
  </w:style>
  <w:style w:styleId="Style_68_ch" w:type="character">
    <w:name w:val="ConsNormal_0"/>
    <w:link w:val="Style_68"/>
    <w:rPr>
      <w:rFonts w:ascii="Arial" w:hAnsi="Arial"/>
      <w:sz w:val="18"/>
    </w:rPr>
  </w:style>
  <w:style w:styleId="Style_69" w:type="paragraph">
    <w:name w:val="Гиперссылка1"/>
    <w:link w:val="Style_69_ch"/>
    <w:rPr>
      <w:color w:val="0000FF"/>
      <w:u w:val="single"/>
    </w:rPr>
  </w:style>
  <w:style w:styleId="Style_69_ch" w:type="character">
    <w:name w:val="Гиперссылка1"/>
    <w:link w:val="Style_69"/>
    <w:rPr>
      <w:color w:val="0000FF"/>
      <w:u w:val="single"/>
    </w:rPr>
  </w:style>
  <w:style w:styleId="Style_70" w:type="paragraph">
    <w:name w:val="Указатель1"/>
    <w:basedOn w:val="Style_2"/>
    <w:link w:val="Style_70_ch"/>
    <w:pPr>
      <w:widowControl w:val="0"/>
      <w:ind/>
    </w:pPr>
    <w:rPr>
      <w:rFonts w:ascii="Calibri" w:hAnsi="Calibri"/>
    </w:rPr>
  </w:style>
  <w:style w:styleId="Style_70_ch" w:type="character">
    <w:name w:val="Указатель1"/>
    <w:basedOn w:val="Style_2_ch"/>
    <w:link w:val="Style_70"/>
    <w:rPr>
      <w:rFonts w:ascii="Calibri" w:hAnsi="Calibri"/>
    </w:rPr>
  </w:style>
  <w:style w:styleId="Style_71" w:type="paragraph">
    <w:name w:val="toc 5"/>
    <w:basedOn w:val="Style_2"/>
    <w:link w:val="Style_71_ch"/>
    <w:uiPriority w:val="39"/>
    <w:pPr>
      <w:ind w:firstLine="0" w:left="800"/>
    </w:pPr>
  </w:style>
  <w:style w:styleId="Style_71_ch" w:type="character">
    <w:name w:val="toc 5"/>
    <w:basedOn w:val="Style_2_ch"/>
    <w:link w:val="Style_71"/>
  </w:style>
  <w:style w:styleId="Style_72" w:type="paragraph">
    <w:name w:val="Contents 9_0"/>
    <w:link w:val="Style_72_ch"/>
    <w:pPr>
      <w:widowControl w:val="0"/>
      <w:ind/>
    </w:pPr>
    <w:rPr>
      <w:sz w:val="24"/>
    </w:rPr>
  </w:style>
  <w:style w:styleId="Style_72_ch" w:type="character">
    <w:name w:val="Contents 9_0"/>
    <w:link w:val="Style_72"/>
    <w:rPr>
      <w:sz w:val="24"/>
    </w:rPr>
  </w:style>
  <w:style w:styleId="Style_73" w:type="paragraph">
    <w:name w:val="Balloon Text"/>
    <w:link w:val="Style_73_ch"/>
    <w:pPr>
      <w:widowControl w:val="0"/>
      <w:ind/>
    </w:pPr>
    <w:rPr>
      <w:rFonts w:ascii="Tahoma" w:hAnsi="Tahoma"/>
      <w:sz w:val="16"/>
    </w:rPr>
  </w:style>
  <w:style w:styleId="Style_73_ch" w:type="character">
    <w:name w:val="Balloon Text"/>
    <w:link w:val="Style_73"/>
    <w:rPr>
      <w:rFonts w:ascii="Tahoma" w:hAnsi="Tahoma"/>
      <w:sz w:val="16"/>
    </w:rPr>
  </w:style>
  <w:style w:styleId="Style_74" w:type="paragraph">
    <w:name w:val="Title1"/>
    <w:link w:val="Style_74_ch"/>
    <w:rPr>
      <w:rFonts w:ascii="XO Thames" w:hAnsi="XO Thames"/>
      <w:b w:val="1"/>
      <w:sz w:val="52"/>
    </w:rPr>
  </w:style>
  <w:style w:styleId="Style_74_ch" w:type="character">
    <w:name w:val="Title1"/>
    <w:link w:val="Style_74"/>
    <w:rPr>
      <w:rFonts w:ascii="XO Thames" w:hAnsi="XO Thames"/>
      <w:b w:val="1"/>
      <w:sz w:val="52"/>
    </w:rPr>
  </w:style>
  <w:style w:styleId="Style_75" w:type="paragraph">
    <w:name w:val="Header and Footer_0"/>
    <w:link w:val="Style_75_ch"/>
    <w:rPr>
      <w:rFonts w:ascii="XO Thames" w:hAnsi="XO Thames"/>
    </w:rPr>
  </w:style>
  <w:style w:styleId="Style_75_ch" w:type="character">
    <w:name w:val="Header and Footer_0"/>
    <w:link w:val="Style_75"/>
    <w:rPr>
      <w:rFonts w:ascii="XO Thames" w:hAnsi="XO Thames"/>
    </w:rPr>
  </w:style>
  <w:style w:styleId="Style_8" w:type="paragraph">
    <w:name w:val="Standard"/>
    <w:link w:val="Style_8_ch"/>
    <w:rPr>
      <w:rFonts w:ascii="Times New Roman" w:hAnsi="Times New Roman"/>
      <w:sz w:val="24"/>
    </w:rPr>
  </w:style>
  <w:style w:styleId="Style_8_ch" w:type="character">
    <w:name w:val="Standard"/>
    <w:link w:val="Style_8"/>
    <w:rPr>
      <w:rFonts w:ascii="Times New Roman" w:hAnsi="Times New Roman"/>
      <w:sz w:val="24"/>
    </w:rPr>
  </w:style>
  <w:style w:styleId="Style_76" w:type="paragraph">
    <w:name w:val="Основной шрифт абзаца1"/>
    <w:link w:val="Style_76_ch"/>
  </w:style>
  <w:style w:styleId="Style_76_ch" w:type="character">
    <w:name w:val="Основной шрифт абзаца1"/>
    <w:link w:val="Style_76"/>
  </w:style>
  <w:style w:styleId="Style_77" w:type="paragraph">
    <w:name w:val="Subtitle"/>
    <w:link w:val="Style_77_ch"/>
    <w:uiPriority w:val="11"/>
    <w:qFormat/>
    <w:pPr>
      <w:widowControl w:val="0"/>
      <w:ind/>
    </w:pPr>
    <w:rPr>
      <w:rFonts w:ascii="XO Thames" w:hAnsi="XO Thames"/>
      <w:i w:val="1"/>
      <w:color w:val="616161"/>
      <w:sz w:val="24"/>
    </w:rPr>
  </w:style>
  <w:style w:styleId="Style_77_ch" w:type="character">
    <w:name w:val="Subtitle"/>
    <w:link w:val="Style_77"/>
    <w:rPr>
      <w:rFonts w:ascii="XO Thames" w:hAnsi="XO Thames"/>
      <w:i w:val="1"/>
      <w:color w:val="616161"/>
      <w:sz w:val="24"/>
    </w:rPr>
  </w:style>
  <w:style w:styleId="Style_43" w:type="paragraph">
    <w:name w:val="Text body"/>
    <w:basedOn w:val="Style_8"/>
    <w:link w:val="Style_43_ch"/>
  </w:style>
  <w:style w:styleId="Style_43_ch" w:type="character">
    <w:name w:val="Text body"/>
    <w:basedOn w:val="Style_8_ch"/>
    <w:link w:val="Style_43"/>
  </w:style>
  <w:style w:styleId="Style_78" w:type="paragraph">
    <w:name w:val="Contents 4_0"/>
    <w:basedOn w:val="Style_25"/>
    <w:link w:val="Style_78_ch"/>
  </w:style>
  <w:style w:styleId="Style_78_ch" w:type="character">
    <w:name w:val="Contents 4_0"/>
    <w:basedOn w:val="Style_25_ch"/>
    <w:link w:val="Style_78"/>
  </w:style>
  <w:style w:styleId="Style_79" w:type="paragraph">
    <w:name w:val="toc 10"/>
    <w:link w:val="Style_79_ch"/>
    <w:uiPriority w:val="39"/>
    <w:rPr>
      <w:sz w:val="24"/>
    </w:rPr>
  </w:style>
  <w:style w:styleId="Style_79_ch" w:type="character">
    <w:name w:val="toc 10"/>
    <w:link w:val="Style_79"/>
    <w:rPr>
      <w:sz w:val="24"/>
    </w:rPr>
  </w:style>
  <w:style w:styleId="Style_80" w:type="paragraph">
    <w:name w:val="Contents 5_0"/>
    <w:link w:val="Style_80_ch"/>
    <w:pPr>
      <w:widowControl w:val="0"/>
      <w:ind/>
    </w:pPr>
    <w:rPr>
      <w:sz w:val="24"/>
    </w:rPr>
  </w:style>
  <w:style w:styleId="Style_80_ch" w:type="character">
    <w:name w:val="Contents 5_0"/>
    <w:link w:val="Style_80"/>
    <w:rPr>
      <w:sz w:val="24"/>
    </w:rPr>
  </w:style>
  <w:style w:styleId="Style_81" w:type="paragraph">
    <w:name w:val="Title"/>
    <w:basedOn w:val="Style_25"/>
    <w:link w:val="Style_81_ch"/>
    <w:uiPriority w:val="10"/>
    <w:qFormat/>
    <w:rPr>
      <w:rFonts w:ascii="XO Thames" w:hAnsi="XO Thames"/>
      <w:b w:val="1"/>
      <w:sz w:val="52"/>
    </w:rPr>
  </w:style>
  <w:style w:styleId="Style_81_ch" w:type="character">
    <w:name w:val="Title"/>
    <w:basedOn w:val="Style_25_ch"/>
    <w:link w:val="Style_81"/>
    <w:rPr>
      <w:rFonts w:ascii="XO Thames" w:hAnsi="XO Thames"/>
      <w:b w:val="1"/>
      <w:sz w:val="52"/>
    </w:rPr>
  </w:style>
  <w:style w:styleId="Style_82" w:type="paragraph">
    <w:name w:val="heading 4"/>
    <w:link w:val="Style_82_ch"/>
    <w:uiPriority w:val="9"/>
    <w:qFormat/>
    <w:pPr>
      <w:widowControl w:val="0"/>
      <w:ind/>
      <w:outlineLvl w:val="3"/>
    </w:pPr>
    <w:rPr>
      <w:rFonts w:ascii="XO Thames" w:hAnsi="XO Thames"/>
      <w:b w:val="1"/>
      <w:color w:val="595959"/>
      <w:sz w:val="26"/>
    </w:rPr>
  </w:style>
  <w:style w:styleId="Style_82_ch" w:type="character">
    <w:name w:val="heading 4"/>
    <w:link w:val="Style_82"/>
    <w:rPr>
      <w:rFonts w:ascii="XO Thames" w:hAnsi="XO Thames"/>
      <w:b w:val="1"/>
      <w:color w:val="595959"/>
      <w:sz w:val="26"/>
    </w:rPr>
  </w:style>
  <w:style w:styleId="Style_83" w:type="paragraph">
    <w:name w:val="Default Paragraph Font1"/>
    <w:link w:val="Style_83_ch"/>
    <w:rPr>
      <w:sz w:val="24"/>
    </w:rPr>
  </w:style>
  <w:style w:styleId="Style_83_ch" w:type="character">
    <w:name w:val="Default Paragraph Font1"/>
    <w:link w:val="Style_83"/>
    <w:rPr>
      <w:sz w:val="24"/>
    </w:rPr>
  </w:style>
  <w:style w:styleId="Style_84" w:type="paragraph">
    <w:name w:val="Указатель2"/>
    <w:link w:val="Style_84_ch"/>
    <w:rPr>
      <w:sz w:val="24"/>
    </w:rPr>
  </w:style>
  <w:style w:styleId="Style_84_ch" w:type="character">
    <w:name w:val="Указатель2"/>
    <w:link w:val="Style_84"/>
    <w:rPr>
      <w:sz w:val="24"/>
    </w:rPr>
  </w:style>
  <w:style w:styleId="Style_85" w:type="paragraph">
    <w:name w:val="Footnote_0"/>
    <w:link w:val="Style_85_ch"/>
    <w:rPr>
      <w:rFonts w:ascii="XO Thames" w:hAnsi="XO Thames"/>
      <w:sz w:val="22"/>
    </w:rPr>
  </w:style>
  <w:style w:styleId="Style_85_ch" w:type="character">
    <w:name w:val="Footnote_0"/>
    <w:link w:val="Style_85"/>
    <w:rPr>
      <w:rFonts w:ascii="XO Thames" w:hAnsi="XO Thames"/>
      <w:sz w:val="22"/>
    </w:rPr>
  </w:style>
  <w:style w:styleId="Style_86" w:type="paragraph">
    <w:name w:val="heading 2"/>
    <w:link w:val="Style_86_ch"/>
    <w:uiPriority w:val="9"/>
    <w:qFormat/>
    <w:pPr>
      <w:widowControl w:val="0"/>
      <w:ind/>
      <w:outlineLvl w:val="1"/>
    </w:pPr>
    <w:rPr>
      <w:rFonts w:ascii="XO Thames" w:hAnsi="XO Thames"/>
      <w:b w:val="1"/>
      <w:color w:val="00A0FF"/>
      <w:sz w:val="26"/>
    </w:rPr>
  </w:style>
  <w:style w:styleId="Style_86_ch" w:type="character">
    <w:name w:val="heading 2"/>
    <w:link w:val="Style_86"/>
    <w:rPr>
      <w:rFonts w:ascii="XO Thames" w:hAnsi="XO Thames"/>
      <w:b w:val="1"/>
      <w:color w:val="00A0FF"/>
      <w:sz w:val="26"/>
    </w:rPr>
  </w:style>
  <w:style w:styleId="Style_87" w:type="paragraph">
    <w:name w:val="Heading 31"/>
    <w:link w:val="Style_87_ch"/>
    <w:rPr>
      <w:rFonts w:ascii="XO Thames" w:hAnsi="XO Thames"/>
      <w:b w:val="1"/>
      <w:i w:val="1"/>
      <w:sz w:val="24"/>
    </w:rPr>
  </w:style>
  <w:style w:styleId="Style_87_ch" w:type="character">
    <w:name w:val="Heading 31"/>
    <w:link w:val="Style_87"/>
    <w:rPr>
      <w:rFonts w:ascii="XO Thames" w:hAnsi="XO Thames"/>
      <w:b w:val="1"/>
      <w:i w:val="1"/>
      <w:sz w:val="24"/>
    </w:rPr>
  </w:style>
  <w:style w:styleId="Style_88" w:type="paragraph">
    <w:name w:val="Основной текст (2)"/>
    <w:link w:val="Style_88_ch"/>
    <w:rPr>
      <w:rFonts w:ascii="Times New Roman" w:hAnsi="Times New Roman"/>
      <w:sz w:val="24"/>
      <w:u w:val="single"/>
    </w:rPr>
  </w:style>
  <w:style w:styleId="Style_88_ch" w:type="character">
    <w:name w:val="Основной текст (2)"/>
    <w:link w:val="Style_88"/>
    <w:rPr>
      <w:rFonts w:ascii="Times New Roman" w:hAnsi="Times New Roman"/>
      <w:sz w:val="24"/>
      <w:u w:val="single"/>
    </w:rPr>
  </w:style>
  <w:style w:styleId="Style_89" w:type="paragraph">
    <w:name w:val="Subtitle1"/>
    <w:link w:val="Style_89_ch"/>
    <w:rPr>
      <w:rFonts w:ascii="XO Thames" w:hAnsi="XO Thames"/>
      <w:i w:val="1"/>
      <w:color w:val="616161"/>
      <w:sz w:val="24"/>
    </w:rPr>
  </w:style>
  <w:style w:styleId="Style_89_ch" w:type="character">
    <w:name w:val="Subtitle1"/>
    <w:link w:val="Style_89"/>
    <w:rPr>
      <w:rFonts w:ascii="XO Thames" w:hAnsi="XO Thames"/>
      <w:i w:val="1"/>
      <w:color w:val="616161"/>
      <w:sz w:val="24"/>
    </w:rPr>
  </w:style>
  <w:style w:styleId="Style_90" w:type="paragraph">
    <w:name w:val="Text body_0"/>
    <w:basedOn w:val="Style_25"/>
    <w:link w:val="Style_90_ch"/>
  </w:style>
  <w:style w:styleId="Style_90_ch" w:type="character">
    <w:name w:val="Text body_0"/>
    <w:basedOn w:val="Style_25_ch"/>
    <w:link w:val="Style_90"/>
  </w:style>
  <w:style w:styleId="Style_91" w:type="paragraph">
    <w:name w:val="Contents 1"/>
    <w:link w:val="Style_91_ch"/>
    <w:rPr>
      <w:rFonts w:ascii="XO Thames" w:hAnsi="XO Thames"/>
      <w:b w:val="1"/>
      <w:sz w:val="24"/>
    </w:rPr>
  </w:style>
  <w:style w:styleId="Style_91_ch" w:type="character">
    <w:name w:val="Contents 1"/>
    <w:link w:val="Style_91"/>
    <w:rPr>
      <w:rFonts w:ascii="XO Thames" w:hAnsi="XO Thames"/>
      <w:b w:val="1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2022-03-25T08:58:00Z</dcterms:modified>
</cp:coreProperties>
</file>