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26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Результаты рассмотрения заявок аукциона от </w:t>
      </w:r>
      <w:r>
        <w:rPr>
          <w:rFonts w:ascii="PT Astra Serif" w:hAnsi="PT Astra Serif"/>
          <w:b w:val="1"/>
          <w:sz w:val="26"/>
        </w:rPr>
        <w:t>25 декабря</w:t>
      </w:r>
      <w:r>
        <w:rPr>
          <w:rFonts w:ascii="PT Astra Serif" w:hAnsi="PT Astra Serif"/>
          <w:b w:val="1"/>
          <w:sz w:val="26"/>
        </w:rPr>
        <w:t xml:space="preserve"> 2019</w:t>
      </w:r>
      <w:r>
        <w:rPr>
          <w:rFonts w:ascii="PT Astra Serif" w:hAnsi="PT Astra Serif"/>
          <w:b w:val="1"/>
          <w:sz w:val="26"/>
        </w:rPr>
        <w:t xml:space="preserve"> года</w:t>
      </w:r>
    </w:p>
    <w:p w14:paraId="03000000">
      <w:pPr>
        <w:ind/>
        <w:jc w:val="center"/>
        <w:rPr>
          <w:rFonts w:ascii="PT Astra Serif" w:hAnsi="PT Astra Serif"/>
          <w:b w:val="1"/>
          <w:sz w:val="26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Комитет по управлению имуществом Курской области сообщает о результатах рассмотрения заявок и определения участников аукциона </w:t>
      </w:r>
      <w:r>
        <w:rPr>
          <w:rFonts w:ascii="PT Astra Serif" w:hAnsi="PT Astra Serif"/>
          <w:sz w:val="26"/>
        </w:rPr>
        <w:t>на</w:t>
      </w:r>
      <w:r>
        <w:rPr>
          <w:rFonts w:ascii="PT Astra Serif" w:hAnsi="PT Astra Serif"/>
          <w:sz w:val="26"/>
        </w:rPr>
        <w:t xml:space="preserve"> прав</w:t>
      </w:r>
      <w:r>
        <w:rPr>
          <w:rFonts w:ascii="PT Astra Serif" w:hAnsi="PT Astra Serif"/>
          <w:sz w:val="26"/>
        </w:rPr>
        <w:t>о</w:t>
      </w:r>
      <w:r>
        <w:rPr>
          <w:rFonts w:ascii="PT Astra Serif" w:hAnsi="PT Astra Serif"/>
          <w:sz w:val="26"/>
        </w:rPr>
        <w:t xml:space="preserve"> заключени</w:t>
      </w:r>
      <w:r>
        <w:rPr>
          <w:rFonts w:ascii="PT Astra Serif" w:hAnsi="PT Astra Serif"/>
          <w:sz w:val="26"/>
        </w:rPr>
        <w:t>я</w:t>
      </w:r>
      <w:r>
        <w:rPr>
          <w:rFonts w:ascii="PT Astra Serif" w:hAnsi="PT Astra Serif"/>
          <w:sz w:val="26"/>
        </w:rPr>
        <w:t xml:space="preserve"> договоров аренды земельных участков, назначенного на </w:t>
      </w:r>
      <w:r>
        <w:rPr>
          <w:rFonts w:ascii="PT Astra Serif" w:hAnsi="PT Astra Serif"/>
          <w:sz w:val="26"/>
        </w:rPr>
        <w:t>25 декабря</w:t>
      </w:r>
      <w:r>
        <w:rPr>
          <w:rFonts w:ascii="PT Astra Serif" w:hAnsi="PT Astra Serif"/>
          <w:sz w:val="26"/>
        </w:rPr>
        <w:t xml:space="preserve"> 2019</w:t>
      </w:r>
      <w:r>
        <w:rPr>
          <w:rFonts w:ascii="PT Astra Serif" w:hAnsi="PT Astra Serif"/>
          <w:sz w:val="26"/>
        </w:rPr>
        <w:t xml:space="preserve"> года в соответствии с решениями комитета по управл</w:t>
      </w:r>
      <w:r>
        <w:rPr>
          <w:rFonts w:ascii="PT Astra Serif" w:hAnsi="PT Astra Serif"/>
          <w:sz w:val="26"/>
        </w:rPr>
        <w:t>ению имуществом Курской области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от 20.11.2019 №01-18/1262, №01-18/1263, №01-18/1264,                  №01-18/1265</w:t>
      </w:r>
    </w:p>
    <w:p w14:paraId="05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1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46:29:101107:69, площадью 220 кв.м., из категории земель населенных пунктов, расположенного по адресу: Курская обл., г. Курск, ул. Пост Кривец, д. 11А, для целей, не связанных со строительством, с видом разрешенного использования земельного участка – «для организации гостевой парковки (без возведения объектов капитального строительства) к автомоечному комплексу, расположенному по адресу: г. Курск, ул. Пост Кривец, 11А». </w:t>
      </w:r>
    </w:p>
    <w:p w14:paraId="06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1 признан несостоявшимся </w:t>
      </w:r>
      <w:r>
        <w:rPr>
          <w:rFonts w:ascii="Times New Roman" w:hAnsi="Times New Roman"/>
          <w:b w:val="0"/>
          <w:sz w:val="26"/>
        </w:rPr>
        <w:t>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p w14:paraId="07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Лот № </w:t>
      </w:r>
      <w:r>
        <w:rPr>
          <w:rFonts w:ascii="PT Astra Serif" w:hAnsi="PT Astra Serif"/>
          <w:b w:val="1"/>
          <w:sz w:val="26"/>
        </w:rPr>
        <w:t>2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46:29:102053:12, площадью 7 595 кв.м., из категории земель населенных пунктов, расположенного по адресу: Курская обл., г. Курск, ул. Карла Маркса, для целей, не связанных со строительством, с видом разрешенного использования земельного участка – «для устройства открытой автостоянки строящегося автокомплекса по продаже и обслуживанию легковых автомобилей (без возведения объектов капитального строительства)». </w:t>
      </w:r>
    </w:p>
    <w:p w14:paraId="08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2 признан несостоявшимся </w:t>
      </w:r>
      <w:r>
        <w:rPr>
          <w:rFonts w:ascii="Times New Roman" w:hAnsi="Times New Roman"/>
          <w:b w:val="0"/>
          <w:sz w:val="26"/>
        </w:rPr>
        <w:t xml:space="preserve"> 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p w14:paraId="09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3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46:29:103007:1940, площадью 500 кв.м., из категории земель населенных пунктов, расположенного по адресу: Курская обл., г. Курск,                                     ул. Еремина, для целей, не связанных со строительством, с видом разрешенного использования земельного участка – «склады». </w:t>
      </w:r>
    </w:p>
    <w:p w14:paraId="0A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 допущены к участию в аукционе и признаны участниками аукциона               ИП Положенцева Н.В., ООО "Эко Текс".</w:t>
      </w:r>
    </w:p>
    <w:p w14:paraId="0B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4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 46:29:103007:1941, площадью 17 393 кв.м., из категории земель населенных пунктов, расположенного по адресу: Курская обл., г. Курск,                ул. Еремина, для целей, не связанных со строительством, с видом разрешенного использования земельного участка – «склады». </w:t>
      </w:r>
    </w:p>
    <w:p w14:paraId="0C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4 признан несостоявшимся </w:t>
      </w:r>
      <w:r>
        <w:rPr>
          <w:rFonts w:ascii="Times New Roman" w:hAnsi="Times New Roman"/>
          <w:b w:val="0"/>
          <w:sz w:val="26"/>
        </w:rPr>
        <w:t xml:space="preserve"> 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sectPr>
      <w:pgSz w:h="16838" w:w="11906"/>
      <w:pgMar w:bottom="397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head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1_ch"/>
    <w:link w:val="Style_7"/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footer"/>
    <w:basedOn w:val="Style_1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1_ch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Balloon Text"/>
    <w:basedOn w:val="Style_1"/>
    <w:link w:val="Style_21_ch"/>
    <w:rPr>
      <w:rFonts w:ascii="Segoe UI" w:hAnsi="Segoe UI"/>
      <w:sz w:val="18"/>
    </w:rPr>
  </w:style>
  <w:style w:styleId="Style_21_ch" w:type="character">
    <w:name w:val="Balloon Text"/>
    <w:basedOn w:val="Style_1_ch"/>
    <w:link w:val="Style_21"/>
    <w:rPr>
      <w:rFonts w:ascii="Segoe UI" w:hAnsi="Segoe UI"/>
      <w:sz w:val="18"/>
    </w:rPr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